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E72F3" w14:textId="24CAB006" w:rsidR="00D309CC" w:rsidRPr="00B20A4E" w:rsidRDefault="00D309CC" w:rsidP="00D46431">
      <w:pPr>
        <w:pStyle w:val="CH"/>
        <w:rPr>
          <w:lang w:val="en-US"/>
        </w:rPr>
      </w:pPr>
      <w:bookmarkStart w:id="0" w:name="historyclause"/>
      <w:r w:rsidRPr="00B20A4E">
        <w:rPr>
          <w:lang w:val="en-US"/>
        </w:rPr>
        <w:t>3GPP RAN</w:t>
      </w:r>
      <w:r w:rsidR="00CF20E3" w:rsidRPr="00B20A4E">
        <w:rPr>
          <w:lang w:val="en-US"/>
        </w:rPr>
        <w:t xml:space="preserve"> </w:t>
      </w:r>
      <w:r w:rsidRPr="00B20A4E">
        <w:rPr>
          <w:lang w:val="en-US"/>
        </w:rPr>
        <w:t>WG</w:t>
      </w:r>
      <w:r w:rsidR="006073EA" w:rsidRPr="00B20A4E">
        <w:rPr>
          <w:lang w:val="en-US"/>
        </w:rPr>
        <w:t>4</w:t>
      </w:r>
      <w:r w:rsidRPr="00B20A4E">
        <w:rPr>
          <w:lang w:val="en-US"/>
        </w:rPr>
        <w:t xml:space="preserve"> Meeting #</w:t>
      </w:r>
      <w:r w:rsidR="00AF66E8" w:rsidRPr="00B20A4E">
        <w:rPr>
          <w:lang w:val="en-US"/>
        </w:rPr>
        <w:t>9</w:t>
      </w:r>
      <w:r w:rsidR="00B20A4E" w:rsidRPr="00B20A4E">
        <w:rPr>
          <w:lang w:val="en-US"/>
        </w:rPr>
        <w:t>9</w:t>
      </w:r>
      <w:r w:rsidR="00EE424A" w:rsidRPr="00B20A4E">
        <w:rPr>
          <w:lang w:val="en-US"/>
        </w:rPr>
        <w:t>-</w:t>
      </w:r>
      <w:r w:rsidR="001A5C3B" w:rsidRPr="00B20A4E">
        <w:rPr>
          <w:lang w:val="en-US"/>
        </w:rPr>
        <w:t>e</w:t>
      </w:r>
      <w:r w:rsidRPr="00B20A4E">
        <w:rPr>
          <w:lang w:val="en-US"/>
        </w:rPr>
        <w:tab/>
      </w:r>
      <w:r w:rsidR="00D46431" w:rsidRPr="00B20A4E">
        <w:rPr>
          <w:lang w:val="en-US"/>
        </w:rPr>
        <w:tab/>
      </w:r>
      <w:r w:rsidR="00DC5EFC" w:rsidRPr="00DC5EFC">
        <w:rPr>
          <w:lang w:val="en-US"/>
        </w:rPr>
        <w:t>R4-2109450</w:t>
      </w:r>
    </w:p>
    <w:p w14:paraId="50DC9730" w14:textId="370F605C" w:rsidR="00D309CC" w:rsidRPr="00FD166F" w:rsidRDefault="00EC4847" w:rsidP="00D46431">
      <w:pPr>
        <w:pStyle w:val="CH"/>
        <w:tabs>
          <w:tab w:val="clear" w:pos="7920"/>
        </w:tabs>
        <w:rPr>
          <w:b w:val="0"/>
        </w:rPr>
      </w:pPr>
      <w:r w:rsidRPr="00EC4847">
        <w:t xml:space="preserve">Electronic meeting, </w:t>
      </w:r>
      <w:r w:rsidR="00B20A4E">
        <w:rPr>
          <w:rFonts w:eastAsia="SimSun"/>
          <w:szCs w:val="24"/>
          <w:lang w:eastAsia="zh-CN"/>
        </w:rPr>
        <w:t>May</w:t>
      </w:r>
      <w:r w:rsidR="00107D41" w:rsidRPr="00CD5A36">
        <w:rPr>
          <w:rFonts w:eastAsia="SimSun"/>
          <w:szCs w:val="24"/>
          <w:lang w:eastAsia="zh-CN"/>
        </w:rPr>
        <w:t xml:space="preserve">. </w:t>
      </w:r>
      <w:r w:rsidR="00A00485">
        <w:rPr>
          <w:rFonts w:eastAsia="SimSun"/>
          <w:szCs w:val="24"/>
          <w:lang w:eastAsia="zh-CN"/>
        </w:rPr>
        <w:t>1</w:t>
      </w:r>
      <w:r w:rsidR="00B20A4E">
        <w:rPr>
          <w:rFonts w:eastAsia="SimSun"/>
          <w:szCs w:val="24"/>
          <w:lang w:eastAsia="zh-CN"/>
        </w:rPr>
        <w:t>9</w:t>
      </w:r>
      <w:r w:rsidR="00107D41">
        <w:rPr>
          <w:rFonts w:eastAsia="SimSun"/>
          <w:szCs w:val="24"/>
          <w:lang w:eastAsia="zh-CN"/>
        </w:rPr>
        <w:t xml:space="preserve"> </w:t>
      </w:r>
      <w:r w:rsidR="00107D41" w:rsidRPr="00CD5A36">
        <w:rPr>
          <w:rFonts w:eastAsia="SimSun"/>
          <w:szCs w:val="24"/>
          <w:lang w:eastAsia="zh-CN"/>
        </w:rPr>
        <w:t>-</w:t>
      </w:r>
      <w:r w:rsidR="00107D41">
        <w:rPr>
          <w:rFonts w:eastAsia="SimSun"/>
          <w:szCs w:val="24"/>
          <w:lang w:eastAsia="zh-CN"/>
        </w:rPr>
        <w:t xml:space="preserve"> </w:t>
      </w:r>
      <w:r w:rsidR="00B20A4E">
        <w:rPr>
          <w:rFonts w:eastAsia="SimSun"/>
          <w:szCs w:val="24"/>
          <w:lang w:eastAsia="zh-CN"/>
        </w:rPr>
        <w:t>May</w:t>
      </w:r>
      <w:r w:rsidR="00107D41" w:rsidRPr="00CD5A36">
        <w:rPr>
          <w:rFonts w:eastAsia="SimSun"/>
          <w:szCs w:val="24"/>
          <w:lang w:eastAsia="zh-CN"/>
        </w:rPr>
        <w:t xml:space="preserve">. </w:t>
      </w:r>
      <w:r w:rsidR="00A00485">
        <w:rPr>
          <w:rFonts w:eastAsia="SimSun"/>
          <w:szCs w:val="24"/>
          <w:lang w:eastAsia="zh-CN"/>
        </w:rPr>
        <w:t>2</w:t>
      </w:r>
      <w:r w:rsidR="00B20A4E">
        <w:rPr>
          <w:rFonts w:eastAsia="SimSun"/>
          <w:szCs w:val="24"/>
          <w:lang w:eastAsia="zh-CN"/>
        </w:rPr>
        <w:t>7</w:t>
      </w:r>
      <w:r w:rsidR="00107D41" w:rsidRPr="00CD5A36">
        <w:rPr>
          <w:rFonts w:eastAsia="SimSun"/>
          <w:szCs w:val="24"/>
          <w:lang w:eastAsia="zh-CN"/>
        </w:rPr>
        <w:t>, 2021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2FFF2F35" w:rsidR="00D309CC" w:rsidRPr="00DC5EFC" w:rsidRDefault="00D309CC" w:rsidP="00D309CC">
      <w:pPr>
        <w:pStyle w:val="CH"/>
        <w:rPr>
          <w:b w:val="0"/>
        </w:rPr>
      </w:pPr>
      <w:r w:rsidRPr="00DC5EFC">
        <w:t>Agenda item:</w:t>
      </w:r>
      <w:r w:rsidRPr="00DC5EFC">
        <w:tab/>
      </w:r>
      <w:r w:rsidR="00B20A4E" w:rsidRPr="00DC5EFC">
        <w:t>9.4.2.1</w:t>
      </w:r>
    </w:p>
    <w:p w14:paraId="4DBE005A" w14:textId="77777777" w:rsidR="00D309CC" w:rsidRPr="00DC5EFC" w:rsidRDefault="00D309CC" w:rsidP="00D309CC">
      <w:pPr>
        <w:pStyle w:val="CH"/>
        <w:rPr>
          <w:b w:val="0"/>
        </w:rPr>
      </w:pPr>
      <w:r w:rsidRPr="00DC5EFC">
        <w:t>Source:</w:t>
      </w:r>
      <w:r w:rsidRPr="00DC5EFC">
        <w:tab/>
        <w:t>Apple Inc.</w:t>
      </w:r>
    </w:p>
    <w:p w14:paraId="0D2061A1" w14:textId="359719BB" w:rsidR="00D309CC" w:rsidRPr="00DC5EFC" w:rsidRDefault="00D309CC" w:rsidP="00817616">
      <w:pPr>
        <w:pStyle w:val="CH"/>
        <w:ind w:left="2250" w:hanging="2250"/>
      </w:pPr>
      <w:r w:rsidRPr="00DC5EFC">
        <w:rPr>
          <w:lang w:val="en-US"/>
        </w:rPr>
        <w:t>Title:</w:t>
      </w:r>
      <w:r w:rsidRPr="00DC5EFC">
        <w:rPr>
          <w:lang w:val="en-US"/>
        </w:rPr>
        <w:tab/>
      </w:r>
      <w:r w:rsidR="00B20A4E" w:rsidRPr="00DC5EFC">
        <w:rPr>
          <w:lang w:val="en-US"/>
        </w:rPr>
        <w:t>Inter-band DL CA for FR2</w:t>
      </w:r>
    </w:p>
    <w:p w14:paraId="052B1E0C" w14:textId="355D4BB6" w:rsidR="00104BC6" w:rsidRPr="00D83EFF" w:rsidRDefault="00104BC6" w:rsidP="00D309CC">
      <w:pPr>
        <w:pStyle w:val="CH"/>
      </w:pPr>
      <w:r w:rsidRPr="00DC5EFC">
        <w:t>WI/SI:</w:t>
      </w:r>
      <w:r w:rsidRPr="00DC5EFC">
        <w:tab/>
      </w:r>
      <w:r w:rsidR="003433B1" w:rsidRPr="00DC5EFC">
        <w:t>NR_</w:t>
      </w:r>
      <w:r w:rsidR="00B20A4E" w:rsidRPr="00DC5EFC">
        <w:t>RF</w:t>
      </w:r>
      <w:r w:rsidR="003433B1" w:rsidRPr="00DC5EFC">
        <w:t>_</w:t>
      </w:r>
      <w:r w:rsidR="00B20A4E" w:rsidRPr="00DC5EFC">
        <w:t>FR2_req_enh2</w:t>
      </w:r>
    </w:p>
    <w:p w14:paraId="6C6D1281" w14:textId="52C96C42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7C62F4">
        <w:t>Rel-</w:t>
      </w:r>
      <w:r w:rsidR="007A789C" w:rsidRPr="007C62F4">
        <w:t>1</w:t>
      </w:r>
      <w:r w:rsidR="007C62F4" w:rsidRPr="007C62F4">
        <w:t>7</w:t>
      </w:r>
    </w:p>
    <w:p w14:paraId="2E4E044D" w14:textId="694E1462" w:rsidR="00D309CC" w:rsidRDefault="00D309CC" w:rsidP="00D309CC">
      <w:pPr>
        <w:pStyle w:val="CH"/>
      </w:pPr>
      <w:r>
        <w:t>Document for:</w:t>
      </w:r>
      <w:r>
        <w:tab/>
      </w:r>
      <w:r w:rsidR="001B5E74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13FC27A" w14:textId="51B893AE" w:rsidR="004861DC" w:rsidRPr="003316A1" w:rsidRDefault="00FE3F9D" w:rsidP="00F37186">
      <w:pPr>
        <w:rPr>
          <w:color w:val="000000" w:themeColor="text1"/>
          <w:sz w:val="20"/>
          <w:szCs w:val="20"/>
          <w:lang w:val="en-US"/>
        </w:rPr>
      </w:pPr>
      <w:r w:rsidRPr="003316A1">
        <w:rPr>
          <w:color w:val="000000" w:themeColor="text1"/>
          <w:sz w:val="20"/>
          <w:szCs w:val="20"/>
          <w:lang w:val="en-US"/>
        </w:rPr>
        <w:t xml:space="preserve">During the RAN4#98bis meeting several issues were raised related to inter-band DL CA for FR2. </w:t>
      </w:r>
      <w:r w:rsidR="00535015" w:rsidRPr="003316A1">
        <w:rPr>
          <w:color w:val="000000" w:themeColor="text1"/>
          <w:sz w:val="20"/>
          <w:szCs w:val="20"/>
          <w:lang w:val="en-US"/>
        </w:rPr>
        <w:t xml:space="preserve"> </w:t>
      </w:r>
      <w:r w:rsidRPr="003316A1">
        <w:rPr>
          <w:color w:val="000000" w:themeColor="text1"/>
          <w:sz w:val="20"/>
          <w:szCs w:val="20"/>
          <w:lang w:val="en-US"/>
        </w:rPr>
        <w:t>In this discussion paper we share our view on how to handle the beam management type</w:t>
      </w:r>
      <w:r w:rsidR="00AF7E22">
        <w:rPr>
          <w:color w:val="000000" w:themeColor="text1"/>
          <w:sz w:val="20"/>
          <w:szCs w:val="20"/>
          <w:lang w:val="en-US"/>
        </w:rPr>
        <w:t xml:space="preserve"> </w:t>
      </w:r>
      <w:r w:rsidR="00AF7E22" w:rsidRPr="003316A1">
        <w:rPr>
          <w:color w:val="000000" w:themeColor="text1"/>
          <w:sz w:val="20"/>
          <w:szCs w:val="20"/>
          <w:lang w:val="en-US"/>
        </w:rPr>
        <w:t>IBM/CBM</w:t>
      </w:r>
      <w:r w:rsidRPr="003316A1">
        <w:rPr>
          <w:color w:val="000000" w:themeColor="text1"/>
          <w:sz w:val="20"/>
          <w:szCs w:val="20"/>
          <w:lang w:val="en-US"/>
        </w:rPr>
        <w:t xml:space="preserve"> in the specification </w:t>
      </w:r>
      <w:r w:rsidR="008E78E9">
        <w:rPr>
          <w:color w:val="000000" w:themeColor="text1"/>
          <w:sz w:val="20"/>
          <w:szCs w:val="20"/>
          <w:lang w:val="en-US"/>
        </w:rPr>
        <w:t>wh</w:t>
      </w:r>
      <w:r w:rsidR="00B53E41">
        <w:rPr>
          <w:color w:val="000000" w:themeColor="text1"/>
          <w:sz w:val="20"/>
          <w:szCs w:val="20"/>
          <w:lang w:val="en-US"/>
        </w:rPr>
        <w:t>en</w:t>
      </w:r>
      <w:r w:rsidR="008E78E9">
        <w:rPr>
          <w:color w:val="000000" w:themeColor="text1"/>
          <w:sz w:val="20"/>
          <w:szCs w:val="20"/>
          <w:lang w:val="en-US"/>
        </w:rPr>
        <w:t xml:space="preserve"> considering </w:t>
      </w:r>
      <w:r w:rsidR="00AF7E22">
        <w:rPr>
          <w:color w:val="000000" w:themeColor="text1"/>
          <w:sz w:val="20"/>
          <w:szCs w:val="20"/>
          <w:lang w:val="en-US"/>
        </w:rPr>
        <w:t xml:space="preserve">the band </w:t>
      </w:r>
      <w:r w:rsidR="008E78E9">
        <w:rPr>
          <w:color w:val="000000" w:themeColor="text1"/>
          <w:sz w:val="20"/>
          <w:szCs w:val="20"/>
          <w:lang w:val="en-US"/>
        </w:rPr>
        <w:t>frequency group</w:t>
      </w:r>
      <w:r w:rsidR="00AF7E22">
        <w:rPr>
          <w:color w:val="000000" w:themeColor="text1"/>
          <w:sz w:val="20"/>
          <w:szCs w:val="20"/>
          <w:lang w:val="en-US"/>
        </w:rPr>
        <w:t>s</w:t>
      </w:r>
      <w:r w:rsidR="008E78E9">
        <w:rPr>
          <w:color w:val="000000" w:themeColor="text1"/>
          <w:sz w:val="20"/>
          <w:szCs w:val="20"/>
          <w:lang w:val="en-US"/>
        </w:rPr>
        <w:t>.</w:t>
      </w:r>
      <w:r w:rsidRPr="003316A1">
        <w:rPr>
          <w:color w:val="000000" w:themeColor="text1"/>
          <w:sz w:val="20"/>
          <w:szCs w:val="20"/>
          <w:lang w:val="en-US"/>
        </w:rPr>
        <w:t xml:space="preserve"> </w:t>
      </w:r>
      <w:r w:rsidR="00AF7E22">
        <w:rPr>
          <w:color w:val="000000" w:themeColor="text1"/>
          <w:sz w:val="20"/>
          <w:szCs w:val="20"/>
          <w:lang w:val="en-US"/>
        </w:rPr>
        <w:t>We also</w:t>
      </w:r>
      <w:r w:rsidRPr="003316A1">
        <w:rPr>
          <w:color w:val="000000" w:themeColor="text1"/>
          <w:sz w:val="20"/>
          <w:szCs w:val="20"/>
          <w:lang w:val="en-US"/>
        </w:rPr>
        <w:t xml:space="preserve"> </w:t>
      </w:r>
      <w:r w:rsidR="00535015" w:rsidRPr="003316A1">
        <w:rPr>
          <w:color w:val="000000" w:themeColor="text1"/>
          <w:sz w:val="20"/>
          <w:szCs w:val="20"/>
          <w:lang w:val="en-US"/>
        </w:rPr>
        <w:t xml:space="preserve">address </w:t>
      </w:r>
      <w:r w:rsidR="00E47EF4">
        <w:rPr>
          <w:color w:val="000000" w:themeColor="text1"/>
          <w:sz w:val="20"/>
          <w:szCs w:val="20"/>
          <w:lang w:val="en-US"/>
        </w:rPr>
        <w:t xml:space="preserve">the remaining </w:t>
      </w:r>
      <w:r w:rsidR="008E78E9">
        <w:rPr>
          <w:color w:val="000000" w:themeColor="text1"/>
          <w:sz w:val="20"/>
          <w:szCs w:val="20"/>
          <w:lang w:val="en-US"/>
        </w:rPr>
        <w:t xml:space="preserve">open </w:t>
      </w:r>
      <w:r w:rsidR="00535015" w:rsidRPr="003316A1">
        <w:rPr>
          <w:color w:val="000000" w:themeColor="text1"/>
          <w:sz w:val="20"/>
          <w:szCs w:val="20"/>
          <w:lang w:val="en-US"/>
        </w:rPr>
        <w:t xml:space="preserve">issues for </w:t>
      </w:r>
      <w:r w:rsidR="00E47EF4">
        <w:rPr>
          <w:color w:val="000000" w:themeColor="text1"/>
          <w:sz w:val="20"/>
          <w:szCs w:val="20"/>
          <w:lang w:val="en-US"/>
        </w:rPr>
        <w:t xml:space="preserve">EIS </w:t>
      </w:r>
      <w:r w:rsidR="00535015" w:rsidRPr="003316A1">
        <w:rPr>
          <w:color w:val="000000" w:themeColor="text1"/>
          <w:sz w:val="20"/>
          <w:szCs w:val="20"/>
          <w:lang w:val="en-US"/>
        </w:rPr>
        <w:t xml:space="preserve">relaxation </w:t>
      </w:r>
      <w:r w:rsidR="000D3845" w:rsidRPr="003316A1">
        <w:rPr>
          <w:color w:val="000000" w:themeColor="text1"/>
          <w:sz w:val="20"/>
          <w:szCs w:val="20"/>
          <w:lang w:val="en-US"/>
        </w:rPr>
        <w:t xml:space="preserve">structure </w:t>
      </w:r>
      <w:r w:rsidR="00535015" w:rsidRPr="003316A1">
        <w:rPr>
          <w:color w:val="000000" w:themeColor="text1"/>
          <w:sz w:val="20"/>
          <w:szCs w:val="20"/>
          <w:lang w:val="en-US"/>
        </w:rPr>
        <w:t>and</w:t>
      </w:r>
      <w:r w:rsidR="000D3845" w:rsidRPr="003316A1">
        <w:rPr>
          <w:color w:val="000000" w:themeColor="text1"/>
          <w:sz w:val="20"/>
          <w:szCs w:val="20"/>
          <w:lang w:val="en-US"/>
        </w:rPr>
        <w:t xml:space="preserve"> </w:t>
      </w:r>
      <w:r w:rsidR="00535015" w:rsidRPr="003316A1">
        <w:rPr>
          <w:color w:val="000000" w:themeColor="text1"/>
          <w:sz w:val="20"/>
          <w:szCs w:val="20"/>
          <w:lang w:val="en-US"/>
        </w:rPr>
        <w:t xml:space="preserve">EIS spherical coverage </w:t>
      </w:r>
      <w:r w:rsidR="00AF7E22">
        <w:rPr>
          <w:color w:val="000000" w:themeColor="text1"/>
          <w:sz w:val="20"/>
          <w:szCs w:val="20"/>
          <w:lang w:val="en-US"/>
        </w:rPr>
        <w:t>within the same frequency group</w:t>
      </w:r>
      <w:r w:rsidR="00535015" w:rsidRPr="003316A1">
        <w:rPr>
          <w:color w:val="000000" w:themeColor="text1"/>
          <w:sz w:val="20"/>
          <w:szCs w:val="20"/>
          <w:lang w:val="en-US"/>
        </w:rPr>
        <w:t>.</w:t>
      </w:r>
    </w:p>
    <w:p w14:paraId="4A683709" w14:textId="1B144304" w:rsidR="000D3845" w:rsidRPr="000D3845" w:rsidRDefault="008E7986" w:rsidP="000D3845">
      <w:pPr>
        <w:pStyle w:val="Heading1"/>
      </w:pPr>
      <w:r>
        <w:t>2</w:t>
      </w:r>
      <w:r>
        <w:tab/>
      </w:r>
      <w:r w:rsidR="003C0DD3">
        <w:t>Discussion</w:t>
      </w:r>
      <w:r>
        <w:t xml:space="preserve"> </w:t>
      </w:r>
    </w:p>
    <w:p w14:paraId="485D1A78" w14:textId="5E04767A" w:rsidR="00A711FD" w:rsidRDefault="00A711FD" w:rsidP="00A711FD">
      <w:pPr>
        <w:pStyle w:val="Heading2"/>
      </w:pPr>
      <w:r>
        <w:t>2.1</w:t>
      </w:r>
      <w:r>
        <w:tab/>
        <w:t>Beam Management Type IBM/CBM</w:t>
      </w:r>
    </w:p>
    <w:p w14:paraId="32753B22" w14:textId="337F5419" w:rsidR="00E47EF4" w:rsidRDefault="00012AB5" w:rsidP="005509FF">
      <w:pPr>
        <w:rPr>
          <w:sz w:val="21"/>
          <w:szCs w:val="21"/>
          <w:lang w:val="en-US"/>
        </w:rPr>
      </w:pPr>
      <w:r w:rsidRPr="003316A1">
        <w:rPr>
          <w:color w:val="000000" w:themeColor="text1"/>
          <w:sz w:val="20"/>
          <w:szCs w:val="20"/>
          <w:lang w:val="en-US"/>
        </w:rPr>
        <w:t xml:space="preserve">RAN4 </w:t>
      </w:r>
      <w:r w:rsidR="00B53E41">
        <w:rPr>
          <w:color w:val="000000" w:themeColor="text1"/>
          <w:sz w:val="20"/>
          <w:szCs w:val="20"/>
          <w:lang w:val="en-US"/>
        </w:rPr>
        <w:t>has discussed the introduction of</w:t>
      </w:r>
      <w:r w:rsidRPr="003316A1">
        <w:rPr>
          <w:color w:val="000000" w:themeColor="text1"/>
          <w:sz w:val="20"/>
          <w:szCs w:val="20"/>
          <w:lang w:val="en-US"/>
        </w:rPr>
        <w:t xml:space="preserve"> two </w:t>
      </w:r>
      <w:r w:rsidR="007D7D4E">
        <w:rPr>
          <w:color w:val="000000" w:themeColor="text1"/>
          <w:sz w:val="20"/>
          <w:szCs w:val="20"/>
          <w:lang w:val="en-US"/>
        </w:rPr>
        <w:t>separate set of</w:t>
      </w:r>
      <w:r w:rsidRPr="003316A1">
        <w:rPr>
          <w:color w:val="000000" w:themeColor="text1"/>
          <w:sz w:val="20"/>
          <w:szCs w:val="20"/>
          <w:lang w:val="en-US"/>
        </w:rPr>
        <w:t xml:space="preserve"> </w:t>
      </w:r>
      <w:r w:rsidR="007D7D4E">
        <w:rPr>
          <w:color w:val="000000" w:themeColor="text1"/>
          <w:sz w:val="20"/>
          <w:szCs w:val="20"/>
          <w:lang w:val="en-US"/>
        </w:rPr>
        <w:t>frameworks, for</w:t>
      </w:r>
      <w:r w:rsidRPr="003316A1">
        <w:rPr>
          <w:color w:val="000000" w:themeColor="text1"/>
          <w:sz w:val="20"/>
          <w:szCs w:val="20"/>
          <w:lang w:val="en-US"/>
        </w:rPr>
        <w:t xml:space="preserve"> IBM and </w:t>
      </w:r>
      <w:r w:rsidR="007D7D4E">
        <w:rPr>
          <w:color w:val="000000" w:themeColor="text1"/>
          <w:sz w:val="20"/>
          <w:szCs w:val="20"/>
          <w:lang w:val="en-US"/>
        </w:rPr>
        <w:t xml:space="preserve">for </w:t>
      </w:r>
      <w:r w:rsidRPr="003316A1">
        <w:rPr>
          <w:color w:val="000000" w:themeColor="text1"/>
          <w:sz w:val="20"/>
          <w:szCs w:val="20"/>
          <w:lang w:val="en-US"/>
        </w:rPr>
        <w:t>CBM UEs.</w:t>
      </w:r>
      <w:r w:rsidR="00617935">
        <w:rPr>
          <w:color w:val="000000" w:themeColor="text1"/>
          <w:sz w:val="20"/>
          <w:szCs w:val="20"/>
          <w:lang w:val="en-US"/>
        </w:rPr>
        <w:t xml:space="preserve"> However, </w:t>
      </w:r>
      <w:r w:rsidR="00E47EF4">
        <w:rPr>
          <w:color w:val="000000" w:themeColor="text1"/>
          <w:sz w:val="20"/>
          <w:szCs w:val="20"/>
          <w:lang w:val="en-US"/>
        </w:rPr>
        <w:t>the specification doesn’t have a clear definition between the CA combination/</w:t>
      </w:r>
      <w:r w:rsidR="00617935">
        <w:rPr>
          <w:color w:val="000000" w:themeColor="text1"/>
          <w:sz w:val="20"/>
          <w:szCs w:val="20"/>
          <w:lang w:val="en-US"/>
        </w:rPr>
        <w:t xml:space="preserve">frequency groups </w:t>
      </w:r>
      <w:r w:rsidR="00E47EF4">
        <w:rPr>
          <w:color w:val="000000" w:themeColor="text1"/>
          <w:sz w:val="20"/>
          <w:szCs w:val="20"/>
          <w:lang w:val="en-US"/>
        </w:rPr>
        <w:t>and the supported CBM/IBM types.</w:t>
      </w:r>
      <w:r w:rsidR="00617935">
        <w:rPr>
          <w:color w:val="000000" w:themeColor="text1"/>
          <w:sz w:val="20"/>
          <w:szCs w:val="20"/>
          <w:lang w:val="en-US"/>
        </w:rPr>
        <w:t xml:space="preserve"> </w:t>
      </w:r>
      <w:r w:rsidR="003316A1" w:rsidRPr="003316A1">
        <w:rPr>
          <w:color w:val="000000" w:themeColor="text1"/>
          <w:sz w:val="20"/>
          <w:szCs w:val="20"/>
          <w:lang w:val="en-US"/>
        </w:rPr>
        <w:t xml:space="preserve">Before </w:t>
      </w:r>
      <w:r w:rsidR="007D7D4E">
        <w:rPr>
          <w:color w:val="000000" w:themeColor="text1"/>
          <w:sz w:val="20"/>
          <w:szCs w:val="20"/>
          <w:lang w:val="en-US"/>
        </w:rPr>
        <w:t xml:space="preserve">working on the </w:t>
      </w:r>
      <w:r w:rsidR="00E47EF4">
        <w:rPr>
          <w:color w:val="000000" w:themeColor="text1"/>
          <w:sz w:val="20"/>
          <w:szCs w:val="20"/>
          <w:lang w:val="en-US"/>
        </w:rPr>
        <w:t>corresponding</w:t>
      </w:r>
      <w:r w:rsidR="003316A1" w:rsidRPr="003316A1">
        <w:rPr>
          <w:color w:val="000000" w:themeColor="text1"/>
          <w:sz w:val="20"/>
          <w:szCs w:val="20"/>
          <w:lang w:val="en-US"/>
        </w:rPr>
        <w:t xml:space="preserve"> framework</w:t>
      </w:r>
      <w:r w:rsidR="007D7D4E">
        <w:rPr>
          <w:color w:val="000000" w:themeColor="text1"/>
          <w:sz w:val="20"/>
          <w:szCs w:val="20"/>
          <w:lang w:val="en-US"/>
        </w:rPr>
        <w:t>s</w:t>
      </w:r>
      <w:r w:rsidR="00E47EF4">
        <w:rPr>
          <w:color w:val="000000" w:themeColor="text1"/>
          <w:sz w:val="20"/>
          <w:szCs w:val="20"/>
          <w:lang w:val="en-US"/>
        </w:rPr>
        <w:t xml:space="preserve"> for IBM/CBM</w:t>
      </w:r>
      <w:r w:rsidR="003316A1" w:rsidRPr="003316A1">
        <w:rPr>
          <w:color w:val="000000" w:themeColor="text1"/>
          <w:sz w:val="20"/>
          <w:szCs w:val="20"/>
          <w:lang w:val="en-US"/>
        </w:rPr>
        <w:t xml:space="preserve">, it </w:t>
      </w:r>
      <w:r w:rsidR="00E47EF4">
        <w:rPr>
          <w:color w:val="000000" w:themeColor="text1"/>
          <w:sz w:val="20"/>
          <w:szCs w:val="20"/>
          <w:lang w:val="en-US"/>
        </w:rPr>
        <w:t>is</w:t>
      </w:r>
      <w:r w:rsidR="003316A1" w:rsidRPr="003316A1">
        <w:rPr>
          <w:color w:val="000000" w:themeColor="text1"/>
          <w:sz w:val="20"/>
          <w:szCs w:val="20"/>
          <w:lang w:val="en-US"/>
        </w:rPr>
        <w:t xml:space="preserve"> important </w:t>
      </w:r>
      <w:r w:rsidR="00E47EF4">
        <w:rPr>
          <w:color w:val="000000" w:themeColor="text1"/>
          <w:sz w:val="20"/>
          <w:szCs w:val="20"/>
          <w:lang w:val="en-US"/>
        </w:rPr>
        <w:t>to</w:t>
      </w:r>
      <w:r w:rsidR="003316A1" w:rsidRPr="003316A1">
        <w:rPr>
          <w:color w:val="000000" w:themeColor="text1"/>
          <w:sz w:val="20"/>
          <w:szCs w:val="20"/>
          <w:lang w:val="en-US"/>
        </w:rPr>
        <w:t xml:space="preserve"> </w:t>
      </w:r>
      <w:r w:rsidR="007D7D4E">
        <w:rPr>
          <w:color w:val="000000" w:themeColor="text1"/>
          <w:sz w:val="20"/>
          <w:szCs w:val="20"/>
          <w:lang w:val="en-US"/>
        </w:rPr>
        <w:t>indicate in the specification the support</w:t>
      </w:r>
      <w:r w:rsidR="003316A1" w:rsidRPr="003316A1">
        <w:rPr>
          <w:color w:val="000000" w:themeColor="text1"/>
          <w:sz w:val="20"/>
          <w:szCs w:val="20"/>
          <w:lang w:val="en-US"/>
        </w:rPr>
        <w:t xml:space="preserve"> of IBM/CBM</w:t>
      </w:r>
      <w:r w:rsidR="007D7D4E">
        <w:rPr>
          <w:color w:val="000000" w:themeColor="text1"/>
          <w:sz w:val="20"/>
          <w:szCs w:val="20"/>
          <w:lang w:val="en-US"/>
        </w:rPr>
        <w:t xml:space="preserve"> per band groups</w:t>
      </w:r>
      <w:r w:rsidR="003316A1" w:rsidRPr="003316A1">
        <w:rPr>
          <w:color w:val="000000" w:themeColor="text1"/>
          <w:sz w:val="20"/>
          <w:szCs w:val="20"/>
          <w:lang w:val="en-US"/>
        </w:rPr>
        <w:t xml:space="preserve">.  </w:t>
      </w:r>
      <w:r w:rsidR="00617935" w:rsidRPr="00B53E41">
        <w:rPr>
          <w:sz w:val="20"/>
          <w:szCs w:val="20"/>
          <w:lang w:val="en-US"/>
        </w:rPr>
        <w:t xml:space="preserve">The purpose of identifying the beam management type </w:t>
      </w:r>
      <w:r w:rsidR="00B53E41">
        <w:rPr>
          <w:sz w:val="20"/>
          <w:szCs w:val="20"/>
          <w:lang w:val="en-US"/>
        </w:rPr>
        <w:t>is to</w:t>
      </w:r>
      <w:r w:rsidR="00617935" w:rsidRPr="00B53E41">
        <w:rPr>
          <w:sz w:val="20"/>
          <w:szCs w:val="20"/>
          <w:lang w:val="en-US"/>
        </w:rPr>
        <w:t xml:space="preserve"> </w:t>
      </w:r>
      <w:r w:rsidR="007D7D4E" w:rsidRPr="00B53E41">
        <w:rPr>
          <w:sz w:val="20"/>
          <w:szCs w:val="20"/>
          <w:lang w:val="en-US"/>
        </w:rPr>
        <w:t>facilitate the progress for</w:t>
      </w:r>
      <w:r w:rsidR="00617935" w:rsidRPr="00B53E41">
        <w:rPr>
          <w:sz w:val="20"/>
          <w:szCs w:val="20"/>
          <w:lang w:val="en-US"/>
        </w:rPr>
        <w:t xml:space="preserve"> </w:t>
      </w:r>
      <w:r w:rsidR="007D7D4E" w:rsidRPr="00B53E41">
        <w:rPr>
          <w:sz w:val="20"/>
          <w:szCs w:val="20"/>
          <w:lang w:val="en-US"/>
        </w:rPr>
        <w:t>the</w:t>
      </w:r>
      <w:r w:rsidR="00617935" w:rsidRPr="00B53E41">
        <w:rPr>
          <w:sz w:val="20"/>
          <w:szCs w:val="20"/>
          <w:lang w:val="en-US"/>
        </w:rPr>
        <w:t xml:space="preserve"> IBM and CBM</w:t>
      </w:r>
      <w:r w:rsidR="007D7D4E" w:rsidRPr="00B53E41">
        <w:rPr>
          <w:sz w:val="20"/>
          <w:szCs w:val="20"/>
          <w:lang w:val="en-US"/>
        </w:rPr>
        <w:t xml:space="preserve"> framework. </w:t>
      </w:r>
    </w:p>
    <w:p w14:paraId="481CDD9F" w14:textId="77777777" w:rsidR="00E47EF4" w:rsidRDefault="00E47EF4" w:rsidP="005509FF">
      <w:pPr>
        <w:rPr>
          <w:sz w:val="21"/>
          <w:szCs w:val="21"/>
          <w:lang w:val="en-US"/>
        </w:rPr>
      </w:pPr>
    </w:p>
    <w:p w14:paraId="3F003A8B" w14:textId="348B62CC" w:rsidR="009F48B3" w:rsidRPr="00B53E41" w:rsidRDefault="007D7D4E" w:rsidP="005509FF">
      <w:pPr>
        <w:rPr>
          <w:color w:val="000000" w:themeColor="text1"/>
          <w:sz w:val="20"/>
          <w:szCs w:val="20"/>
          <w:lang w:val="en-US"/>
        </w:rPr>
      </w:pPr>
      <w:r w:rsidRPr="00B53E41">
        <w:rPr>
          <w:sz w:val="20"/>
          <w:szCs w:val="20"/>
          <w:lang w:val="en-US"/>
        </w:rPr>
        <w:t>Until now the discussion for inter-band CA have been focused in two main groups</w:t>
      </w:r>
      <w:r w:rsidR="00BD1C05" w:rsidRPr="00B53E41">
        <w:rPr>
          <w:sz w:val="20"/>
          <w:szCs w:val="20"/>
          <w:lang w:val="en-US"/>
        </w:rPr>
        <w:t>,</w:t>
      </w:r>
      <w:r w:rsidRPr="00B53E41">
        <w:rPr>
          <w:sz w:val="20"/>
          <w:szCs w:val="20"/>
          <w:lang w:val="en-US"/>
        </w:rPr>
        <w:t xml:space="preserve"> same frequency groups and different freque</w:t>
      </w:r>
      <w:r w:rsidR="00BD1C05" w:rsidRPr="00B53E41">
        <w:rPr>
          <w:sz w:val="20"/>
          <w:szCs w:val="20"/>
          <w:lang w:val="en-US"/>
        </w:rPr>
        <w:t>ncy</w:t>
      </w:r>
      <w:r w:rsidRPr="00B53E41">
        <w:rPr>
          <w:sz w:val="20"/>
          <w:szCs w:val="20"/>
          <w:lang w:val="en-US"/>
        </w:rPr>
        <w:t xml:space="preserve"> groups.</w:t>
      </w:r>
      <w:r w:rsidR="00BD1C05" w:rsidRPr="00B53E41">
        <w:rPr>
          <w:sz w:val="20"/>
          <w:szCs w:val="20"/>
          <w:lang w:val="en-US"/>
        </w:rPr>
        <w:t xml:space="preserve"> </w:t>
      </w:r>
      <w:r w:rsidR="00B53E41">
        <w:rPr>
          <w:sz w:val="20"/>
          <w:szCs w:val="20"/>
          <w:lang w:val="en-US"/>
        </w:rPr>
        <w:t>For t</w:t>
      </w:r>
      <w:r w:rsidR="00E47EF4" w:rsidRPr="00B53E41">
        <w:rPr>
          <w:sz w:val="20"/>
          <w:szCs w:val="20"/>
          <w:lang w:val="en-US"/>
        </w:rPr>
        <w:t>he</w:t>
      </w:r>
      <w:r w:rsidR="00BD1C05" w:rsidRPr="00B53E41">
        <w:rPr>
          <w:sz w:val="20"/>
          <w:szCs w:val="20"/>
          <w:lang w:val="en-US"/>
        </w:rPr>
        <w:t xml:space="preserve"> same </w:t>
      </w:r>
      <w:r w:rsidR="00E47EF4" w:rsidRPr="00B53E41">
        <w:rPr>
          <w:sz w:val="20"/>
          <w:szCs w:val="20"/>
          <w:lang w:val="en-US"/>
        </w:rPr>
        <w:t>band group d</w:t>
      </w:r>
      <w:r w:rsidR="00BD1C05" w:rsidRPr="00B53E41">
        <w:rPr>
          <w:sz w:val="20"/>
          <w:szCs w:val="20"/>
          <w:lang w:val="en-US"/>
        </w:rPr>
        <w:t>ivision</w:t>
      </w:r>
      <w:r w:rsidR="00B53E41">
        <w:rPr>
          <w:sz w:val="20"/>
          <w:szCs w:val="20"/>
          <w:lang w:val="en-US"/>
        </w:rPr>
        <w:t xml:space="preserve"> - </w:t>
      </w:r>
      <w:r w:rsidR="00E47EF4" w:rsidRPr="00B53E41">
        <w:rPr>
          <w:sz w:val="20"/>
          <w:szCs w:val="20"/>
          <w:lang w:val="en-US"/>
        </w:rPr>
        <w:t xml:space="preserve">such as </w:t>
      </w:r>
      <w:r w:rsidR="00E03AF5" w:rsidRPr="00B53E41">
        <w:rPr>
          <w:sz w:val="20"/>
          <w:szCs w:val="20"/>
          <w:lang w:val="en-US"/>
        </w:rPr>
        <w:t>28 GHz + 28 GHz/ 39 GHz + 39 GHz</w:t>
      </w:r>
      <w:r w:rsidR="00B53E41">
        <w:rPr>
          <w:sz w:val="20"/>
          <w:szCs w:val="20"/>
          <w:lang w:val="en-US"/>
        </w:rPr>
        <w:t xml:space="preserve"> -</w:t>
      </w:r>
      <w:r w:rsidR="00BD1C05" w:rsidRPr="00B53E41">
        <w:rPr>
          <w:sz w:val="20"/>
          <w:szCs w:val="20"/>
          <w:lang w:val="en-US"/>
        </w:rPr>
        <w:t xml:space="preserve"> RAN4</w:t>
      </w:r>
      <w:r w:rsidR="00BD1C05" w:rsidRPr="00B53E41">
        <w:rPr>
          <w:color w:val="000000" w:themeColor="text1"/>
          <w:sz w:val="20"/>
          <w:szCs w:val="20"/>
          <w:lang w:val="en-US"/>
        </w:rPr>
        <w:t xml:space="preserve"> has </w:t>
      </w:r>
      <w:r w:rsidR="00E45F16">
        <w:rPr>
          <w:color w:val="000000" w:themeColor="text1"/>
          <w:sz w:val="20"/>
          <w:szCs w:val="20"/>
          <w:lang w:val="en-US"/>
        </w:rPr>
        <w:t xml:space="preserve">been </w:t>
      </w:r>
      <w:r w:rsidR="00BD1C05" w:rsidRPr="00B53E41">
        <w:rPr>
          <w:color w:val="000000" w:themeColor="text1"/>
          <w:sz w:val="20"/>
          <w:szCs w:val="20"/>
          <w:lang w:val="en-US"/>
        </w:rPr>
        <w:t>previously agreed</w:t>
      </w:r>
      <w:r w:rsidR="009F48B3" w:rsidRPr="00B53E41">
        <w:rPr>
          <w:color w:val="000000" w:themeColor="text1"/>
          <w:sz w:val="20"/>
          <w:szCs w:val="20"/>
          <w:lang w:val="en-US"/>
        </w:rPr>
        <w:t xml:space="preserve"> </w:t>
      </w:r>
      <w:r w:rsidR="00CF7D85">
        <w:rPr>
          <w:color w:val="000000" w:themeColor="text1"/>
          <w:sz w:val="20"/>
          <w:szCs w:val="20"/>
          <w:lang w:val="en-US"/>
        </w:rPr>
        <w:t>in RAN4#91</w:t>
      </w:r>
      <w:r w:rsidR="00E45F16">
        <w:rPr>
          <w:color w:val="000000" w:themeColor="text1"/>
          <w:sz w:val="20"/>
          <w:szCs w:val="20"/>
          <w:lang w:val="en-US"/>
        </w:rPr>
        <w:t xml:space="preserve"> meeting</w:t>
      </w:r>
      <w:r w:rsidR="00CF7D85">
        <w:rPr>
          <w:color w:val="000000" w:themeColor="text1"/>
          <w:sz w:val="20"/>
          <w:szCs w:val="20"/>
          <w:lang w:val="en-US"/>
        </w:rPr>
        <w:t xml:space="preserve"> </w:t>
      </w:r>
      <w:r w:rsidR="00BD1C05" w:rsidRPr="00B53E41">
        <w:rPr>
          <w:color w:val="000000" w:themeColor="text1"/>
          <w:sz w:val="20"/>
          <w:szCs w:val="20"/>
          <w:lang w:val="en-US"/>
        </w:rPr>
        <w:t>t</w:t>
      </w:r>
      <w:r w:rsidR="009F48B3" w:rsidRPr="00B53E41">
        <w:rPr>
          <w:color w:val="000000" w:themeColor="text1"/>
          <w:sz w:val="20"/>
          <w:szCs w:val="20"/>
          <w:lang w:val="en-US"/>
        </w:rPr>
        <w:t>hat intra-band CA requirement shall apply for inter-band CA between n260 and n259 (39</w:t>
      </w:r>
      <w:r w:rsidR="00B53E41">
        <w:rPr>
          <w:color w:val="000000" w:themeColor="text1"/>
          <w:sz w:val="20"/>
          <w:szCs w:val="20"/>
          <w:lang w:val="en-US"/>
        </w:rPr>
        <w:t xml:space="preserve"> GHz</w:t>
      </w:r>
      <w:r w:rsidR="009F48B3" w:rsidRPr="00B53E41">
        <w:rPr>
          <w:color w:val="000000" w:themeColor="text1"/>
          <w:sz w:val="20"/>
          <w:szCs w:val="20"/>
          <w:lang w:val="en-US"/>
        </w:rPr>
        <w:t xml:space="preserve"> + 39 GHz) band pair</w:t>
      </w:r>
      <w:r w:rsidR="00E45F16">
        <w:rPr>
          <w:color w:val="000000" w:themeColor="text1"/>
          <w:sz w:val="20"/>
          <w:szCs w:val="20"/>
          <w:lang w:val="en-US"/>
        </w:rPr>
        <w:t xml:space="preserve"> </w:t>
      </w:r>
      <w:r w:rsidR="00CF7D85">
        <w:rPr>
          <w:color w:val="000000" w:themeColor="text1"/>
          <w:sz w:val="20"/>
          <w:szCs w:val="20"/>
          <w:lang w:val="en-US"/>
        </w:rPr>
        <w:t>[1]</w:t>
      </w:r>
      <w:r w:rsidR="00E45F16">
        <w:rPr>
          <w:color w:val="000000" w:themeColor="text1"/>
          <w:sz w:val="20"/>
          <w:szCs w:val="20"/>
          <w:lang w:val="en-US"/>
        </w:rPr>
        <w:t>.</w:t>
      </w:r>
      <w:r w:rsidR="009F48B3" w:rsidRPr="00B53E41">
        <w:rPr>
          <w:color w:val="000000" w:themeColor="text1"/>
          <w:sz w:val="20"/>
          <w:szCs w:val="20"/>
          <w:lang w:val="en-US"/>
        </w:rPr>
        <w:t xml:space="preserve"> Since </w:t>
      </w:r>
      <w:r w:rsidR="00B53E41">
        <w:rPr>
          <w:color w:val="000000" w:themeColor="text1"/>
          <w:sz w:val="20"/>
          <w:szCs w:val="20"/>
          <w:lang w:val="en-US"/>
        </w:rPr>
        <w:t xml:space="preserve">CBM is assumed for </w:t>
      </w:r>
      <w:r w:rsidR="009F48B3" w:rsidRPr="00B53E41">
        <w:rPr>
          <w:color w:val="000000" w:themeColor="text1"/>
          <w:sz w:val="20"/>
          <w:szCs w:val="20"/>
          <w:lang w:val="en-US"/>
        </w:rPr>
        <w:t xml:space="preserve">the intra-band CA </w:t>
      </w:r>
      <w:r w:rsidR="00BD1C05" w:rsidRPr="00B53E41">
        <w:rPr>
          <w:color w:val="000000" w:themeColor="text1"/>
          <w:sz w:val="20"/>
          <w:szCs w:val="20"/>
          <w:lang w:val="en-US"/>
        </w:rPr>
        <w:t>requirements</w:t>
      </w:r>
      <w:r w:rsidR="009F48B3" w:rsidRPr="00B53E41">
        <w:rPr>
          <w:color w:val="000000" w:themeColor="text1"/>
          <w:sz w:val="20"/>
          <w:szCs w:val="20"/>
          <w:lang w:val="en-US"/>
        </w:rPr>
        <w:t xml:space="preserve">, we can conclude that the assumption for the beam management for inter-band CA </w:t>
      </w:r>
      <w:r w:rsidR="00BD1C05" w:rsidRPr="00B53E41">
        <w:rPr>
          <w:color w:val="000000" w:themeColor="text1"/>
          <w:sz w:val="20"/>
          <w:szCs w:val="20"/>
          <w:lang w:val="en-US"/>
        </w:rPr>
        <w:t>within same frequency groups</w:t>
      </w:r>
      <w:r w:rsidR="009F48B3" w:rsidRPr="00B53E41">
        <w:rPr>
          <w:color w:val="000000" w:themeColor="text1"/>
          <w:sz w:val="20"/>
          <w:szCs w:val="20"/>
          <w:lang w:val="en-US"/>
        </w:rPr>
        <w:t xml:space="preserve"> is CBM.</w:t>
      </w:r>
      <w:r w:rsidR="00E47EF4" w:rsidRPr="00B53E41">
        <w:rPr>
          <w:color w:val="000000" w:themeColor="text1"/>
          <w:sz w:val="20"/>
          <w:szCs w:val="20"/>
          <w:lang w:val="en-US"/>
        </w:rPr>
        <w:t xml:space="preserve"> </w:t>
      </w:r>
      <w:r w:rsidR="009F48B3" w:rsidRPr="00B53E41">
        <w:rPr>
          <w:sz w:val="20"/>
          <w:szCs w:val="20"/>
          <w:lang w:val="en-US"/>
        </w:rPr>
        <w:t xml:space="preserve">For </w:t>
      </w:r>
      <w:r w:rsidR="00B53E41">
        <w:rPr>
          <w:sz w:val="20"/>
          <w:szCs w:val="20"/>
          <w:lang w:val="en-US"/>
        </w:rPr>
        <w:t xml:space="preserve">the </w:t>
      </w:r>
      <w:r w:rsidR="009F48B3" w:rsidRPr="00B53E41">
        <w:rPr>
          <w:sz w:val="20"/>
          <w:szCs w:val="20"/>
          <w:lang w:val="en-US"/>
        </w:rPr>
        <w:t>different frequency groups</w:t>
      </w:r>
      <w:r w:rsidR="00B53E41">
        <w:rPr>
          <w:sz w:val="20"/>
          <w:szCs w:val="20"/>
          <w:lang w:val="en-US"/>
        </w:rPr>
        <w:t xml:space="preserve"> -</w:t>
      </w:r>
      <w:r w:rsidR="00E47EF4" w:rsidRPr="00B53E41">
        <w:rPr>
          <w:sz w:val="20"/>
          <w:szCs w:val="20"/>
          <w:lang w:val="en-US"/>
        </w:rPr>
        <w:t xml:space="preserve">such as </w:t>
      </w:r>
      <w:r w:rsidR="000348CF" w:rsidRPr="00B53E41">
        <w:rPr>
          <w:sz w:val="20"/>
          <w:szCs w:val="20"/>
          <w:lang w:val="en-US"/>
        </w:rPr>
        <w:t>28 GHz + 39 GHz</w:t>
      </w:r>
      <w:r w:rsidR="00B53E41">
        <w:rPr>
          <w:sz w:val="20"/>
          <w:szCs w:val="20"/>
          <w:lang w:val="en-US"/>
        </w:rPr>
        <w:t xml:space="preserve"> -,</w:t>
      </w:r>
      <w:r w:rsidR="00E47EF4" w:rsidRPr="00B53E41">
        <w:rPr>
          <w:sz w:val="20"/>
          <w:szCs w:val="20"/>
          <w:lang w:val="en-US"/>
        </w:rPr>
        <w:t xml:space="preserve"> </w:t>
      </w:r>
      <w:r w:rsidR="00E47EF4" w:rsidRPr="00B53E41">
        <w:rPr>
          <w:color w:val="000000" w:themeColor="text1"/>
          <w:sz w:val="20"/>
          <w:szCs w:val="20"/>
          <w:lang w:val="en-US"/>
        </w:rPr>
        <w:t>a</w:t>
      </w:r>
      <w:r w:rsidR="009F48B3" w:rsidRPr="00B53E41">
        <w:rPr>
          <w:color w:val="000000" w:themeColor="text1"/>
          <w:sz w:val="20"/>
          <w:szCs w:val="20"/>
          <w:lang w:val="en-US"/>
        </w:rPr>
        <w:t>ccording to the WF on FR2 inter-band DL CA [</w:t>
      </w:r>
      <w:r w:rsidR="00CF7D85">
        <w:rPr>
          <w:color w:val="000000" w:themeColor="text1"/>
          <w:sz w:val="20"/>
          <w:szCs w:val="20"/>
          <w:lang w:val="en-US"/>
        </w:rPr>
        <w:t>2</w:t>
      </w:r>
      <w:r w:rsidR="009F48B3" w:rsidRPr="00B53E41">
        <w:rPr>
          <w:color w:val="000000" w:themeColor="text1"/>
          <w:sz w:val="20"/>
          <w:szCs w:val="20"/>
          <w:lang w:val="en-US"/>
        </w:rPr>
        <w:t>], UE is assumed to be feasible to have IBM</w:t>
      </w:r>
      <w:r w:rsidR="00E47EF4" w:rsidRPr="00B53E41">
        <w:rPr>
          <w:color w:val="000000" w:themeColor="text1"/>
          <w:sz w:val="20"/>
          <w:szCs w:val="20"/>
          <w:lang w:val="en-US"/>
        </w:rPr>
        <w:t xml:space="preserve"> for the bands that are part of supported band configuration in inter-band CA for 28 GHz + 39 GHz combinations</w:t>
      </w:r>
      <w:r w:rsidR="000348CF" w:rsidRPr="00B53E41">
        <w:rPr>
          <w:color w:val="000000" w:themeColor="text1"/>
          <w:sz w:val="20"/>
          <w:szCs w:val="20"/>
          <w:lang w:val="en-US"/>
        </w:rPr>
        <w:t xml:space="preserve">. </w:t>
      </w:r>
      <w:r w:rsidR="00B53E41">
        <w:rPr>
          <w:color w:val="000000" w:themeColor="text1"/>
          <w:sz w:val="20"/>
          <w:szCs w:val="20"/>
          <w:lang w:val="en-US"/>
        </w:rPr>
        <w:t xml:space="preserve">Additionally, in </w:t>
      </w:r>
      <w:r w:rsidR="000348CF" w:rsidRPr="00B53E41">
        <w:rPr>
          <w:color w:val="000000" w:themeColor="text1"/>
          <w:sz w:val="20"/>
          <w:szCs w:val="20"/>
          <w:lang w:val="en-US"/>
        </w:rPr>
        <w:t>[</w:t>
      </w:r>
      <w:r w:rsidR="00CF7D85">
        <w:rPr>
          <w:color w:val="000000" w:themeColor="text1"/>
          <w:sz w:val="20"/>
          <w:szCs w:val="20"/>
          <w:lang w:val="en-US"/>
        </w:rPr>
        <w:t>3]</w:t>
      </w:r>
      <w:r w:rsidR="000348CF" w:rsidRPr="00B53E41">
        <w:rPr>
          <w:color w:val="000000" w:themeColor="text1"/>
          <w:sz w:val="20"/>
          <w:szCs w:val="20"/>
          <w:lang w:val="en-US"/>
        </w:rPr>
        <w:t xml:space="preserve"> we have provided the simulated UE performance loss against carrier frequency separation between two band groups (up to 19 GHz). </w:t>
      </w:r>
      <w:r w:rsidR="00836B1E">
        <w:rPr>
          <w:color w:val="000000" w:themeColor="text1"/>
          <w:sz w:val="20"/>
          <w:szCs w:val="20"/>
          <w:lang w:val="en-US"/>
        </w:rPr>
        <w:t>The simulation result</w:t>
      </w:r>
      <w:r w:rsidR="000348CF" w:rsidRPr="00B53E41">
        <w:rPr>
          <w:color w:val="000000" w:themeColor="text1"/>
          <w:sz w:val="20"/>
          <w:szCs w:val="20"/>
          <w:lang w:val="en-US"/>
        </w:rPr>
        <w:t xml:space="preserve"> </w:t>
      </w:r>
      <w:r w:rsidR="00836B1E">
        <w:rPr>
          <w:color w:val="000000" w:themeColor="text1"/>
          <w:sz w:val="20"/>
          <w:szCs w:val="20"/>
          <w:lang w:val="en-US"/>
        </w:rPr>
        <w:t xml:space="preserve">has </w:t>
      </w:r>
      <w:r w:rsidR="000348CF" w:rsidRPr="00B53E41">
        <w:rPr>
          <w:color w:val="000000" w:themeColor="text1"/>
          <w:sz w:val="20"/>
          <w:szCs w:val="20"/>
          <w:lang w:val="en-US"/>
        </w:rPr>
        <w:t xml:space="preserve">shown that the </w:t>
      </w:r>
      <w:r w:rsidR="00562978" w:rsidRPr="00B53E41">
        <w:rPr>
          <w:color w:val="000000" w:themeColor="text1"/>
          <w:sz w:val="20"/>
          <w:szCs w:val="20"/>
          <w:lang w:val="en-US"/>
        </w:rPr>
        <w:t>beam squint effect could have more than 9.5 dB performance degradation when enabling CBM support for inter-band CA for different frequency groups</w:t>
      </w:r>
      <w:r w:rsidR="0008525B" w:rsidRPr="00B53E41">
        <w:rPr>
          <w:color w:val="000000" w:themeColor="text1"/>
          <w:sz w:val="20"/>
          <w:szCs w:val="20"/>
          <w:lang w:val="en-US"/>
        </w:rPr>
        <w:t>.</w:t>
      </w:r>
      <w:r w:rsidR="00836B1E">
        <w:rPr>
          <w:color w:val="000000" w:themeColor="text1"/>
          <w:sz w:val="20"/>
          <w:szCs w:val="20"/>
          <w:lang w:val="en-US"/>
        </w:rPr>
        <w:t xml:space="preserve"> Therefore, for different frequency groups in the table below, we have assumed IBM only.</w:t>
      </w:r>
    </w:p>
    <w:p w14:paraId="085A2E6D" w14:textId="06B3C991" w:rsidR="003316A1" w:rsidRDefault="003316A1" w:rsidP="005509FF">
      <w:pPr>
        <w:rPr>
          <w:color w:val="000000" w:themeColor="text1"/>
          <w:sz w:val="20"/>
          <w:szCs w:val="20"/>
          <w:lang w:val="en-US"/>
        </w:rPr>
      </w:pPr>
    </w:p>
    <w:p w14:paraId="3781D09D" w14:textId="3BFB6A05" w:rsidR="007669B2" w:rsidRDefault="003316A1" w:rsidP="003316A1">
      <w:pPr>
        <w:rPr>
          <w:color w:val="000000" w:themeColor="text1"/>
          <w:sz w:val="20"/>
          <w:szCs w:val="20"/>
          <w:lang w:val="en-US"/>
        </w:rPr>
      </w:pPr>
      <w:r w:rsidRPr="003316A1">
        <w:rPr>
          <w:color w:val="000000" w:themeColor="text1"/>
          <w:sz w:val="20"/>
          <w:szCs w:val="20"/>
          <w:lang w:val="en-US"/>
        </w:rPr>
        <w:t xml:space="preserve">In summary, </w:t>
      </w:r>
      <w:r w:rsidR="008E78E9">
        <w:rPr>
          <w:color w:val="000000" w:themeColor="text1"/>
          <w:sz w:val="20"/>
          <w:szCs w:val="20"/>
          <w:lang w:val="en-US"/>
        </w:rPr>
        <w:t>we recommend</w:t>
      </w:r>
      <w:r w:rsidR="00E03AF5">
        <w:rPr>
          <w:color w:val="000000" w:themeColor="text1"/>
          <w:sz w:val="20"/>
          <w:szCs w:val="20"/>
          <w:lang w:val="en-US"/>
        </w:rPr>
        <w:t xml:space="preserve"> indicating</w:t>
      </w:r>
      <w:r w:rsidR="00593C3C">
        <w:rPr>
          <w:color w:val="000000" w:themeColor="text1"/>
          <w:sz w:val="20"/>
          <w:szCs w:val="20"/>
          <w:lang w:val="en-US"/>
        </w:rPr>
        <w:t xml:space="preserve"> the applicability of the CBM/IBM in terms of</w:t>
      </w:r>
      <w:r w:rsidR="008E78E9">
        <w:rPr>
          <w:color w:val="000000" w:themeColor="text1"/>
          <w:sz w:val="20"/>
          <w:szCs w:val="20"/>
          <w:lang w:val="en-US"/>
        </w:rPr>
        <w:t xml:space="preserve"> the</w:t>
      </w:r>
      <w:r w:rsidRPr="003316A1">
        <w:rPr>
          <w:color w:val="000000" w:themeColor="text1"/>
          <w:sz w:val="20"/>
          <w:szCs w:val="20"/>
          <w:lang w:val="en-US"/>
        </w:rPr>
        <w:t xml:space="preserve"> frequency groups </w:t>
      </w:r>
      <w:r w:rsidR="008E78E9">
        <w:rPr>
          <w:color w:val="000000" w:themeColor="text1"/>
          <w:sz w:val="20"/>
          <w:szCs w:val="20"/>
          <w:lang w:val="en-US"/>
        </w:rPr>
        <w:t>instead of</w:t>
      </w:r>
      <w:r w:rsidR="00E03AF5">
        <w:rPr>
          <w:color w:val="000000" w:themeColor="text1"/>
          <w:sz w:val="20"/>
          <w:szCs w:val="20"/>
          <w:lang w:val="en-US"/>
        </w:rPr>
        <w:t xml:space="preserve"> per </w:t>
      </w:r>
      <w:r w:rsidR="008E78E9">
        <w:rPr>
          <w:color w:val="000000" w:themeColor="text1"/>
          <w:sz w:val="20"/>
          <w:szCs w:val="20"/>
          <w:lang w:val="en-US"/>
        </w:rPr>
        <w:t xml:space="preserve">each </w:t>
      </w:r>
      <w:r w:rsidR="00E03AF5">
        <w:rPr>
          <w:color w:val="000000" w:themeColor="text1"/>
          <w:sz w:val="20"/>
          <w:szCs w:val="20"/>
          <w:lang w:val="en-US"/>
        </w:rPr>
        <w:t xml:space="preserve">band pair </w:t>
      </w:r>
      <w:r w:rsidR="008E78E9">
        <w:rPr>
          <w:color w:val="000000" w:themeColor="text1"/>
          <w:sz w:val="20"/>
          <w:szCs w:val="20"/>
          <w:lang w:val="en-US"/>
        </w:rPr>
        <w:t>combination individually. RAN4 needs</w:t>
      </w:r>
      <w:r w:rsidR="00836B1E">
        <w:rPr>
          <w:color w:val="000000" w:themeColor="text1"/>
          <w:sz w:val="20"/>
          <w:szCs w:val="20"/>
          <w:lang w:val="en-US"/>
        </w:rPr>
        <w:t xml:space="preserve"> to provide</w:t>
      </w:r>
      <w:r w:rsidR="008E78E9">
        <w:rPr>
          <w:color w:val="000000" w:themeColor="text1"/>
          <w:sz w:val="20"/>
          <w:szCs w:val="20"/>
          <w:lang w:val="en-US"/>
        </w:rPr>
        <w:t xml:space="preserve"> clarity on the beam management type per band group before discussing the framework for IBM and CBM</w:t>
      </w:r>
      <w:r w:rsidR="00836B1E">
        <w:rPr>
          <w:color w:val="000000" w:themeColor="text1"/>
          <w:sz w:val="20"/>
          <w:szCs w:val="20"/>
          <w:lang w:val="en-US"/>
        </w:rPr>
        <w:t xml:space="preserve">. This will provide a </w:t>
      </w:r>
      <w:r w:rsidR="008E78E9">
        <w:rPr>
          <w:color w:val="000000" w:themeColor="text1"/>
          <w:sz w:val="20"/>
          <w:szCs w:val="20"/>
          <w:lang w:val="en-US"/>
        </w:rPr>
        <w:t>common understanding on which band groups combinations will be supported by the corresponding BM type</w:t>
      </w:r>
      <w:r w:rsidRPr="003316A1">
        <w:rPr>
          <w:color w:val="000000" w:themeColor="text1"/>
          <w:sz w:val="20"/>
          <w:szCs w:val="20"/>
          <w:lang w:val="en-US"/>
        </w:rPr>
        <w:t xml:space="preserve">. Below we provide an example </w:t>
      </w:r>
      <w:r w:rsidR="007669B2">
        <w:rPr>
          <w:color w:val="000000" w:themeColor="text1"/>
          <w:sz w:val="20"/>
          <w:szCs w:val="20"/>
          <w:lang w:val="en-US"/>
        </w:rPr>
        <w:t>on how to implement the</w:t>
      </w:r>
      <w:r w:rsidRPr="003316A1">
        <w:rPr>
          <w:color w:val="000000" w:themeColor="text1"/>
          <w:sz w:val="20"/>
          <w:szCs w:val="20"/>
          <w:lang w:val="en-US"/>
        </w:rPr>
        <w:t xml:space="preserve"> </w:t>
      </w:r>
      <w:r w:rsidR="0008525B">
        <w:rPr>
          <w:color w:val="000000" w:themeColor="text1"/>
          <w:sz w:val="20"/>
          <w:szCs w:val="20"/>
          <w:lang w:val="en-US"/>
        </w:rPr>
        <w:t>B</w:t>
      </w:r>
      <w:r w:rsidRPr="003316A1">
        <w:rPr>
          <w:color w:val="000000" w:themeColor="text1"/>
          <w:sz w:val="20"/>
          <w:szCs w:val="20"/>
          <w:lang w:val="en-US"/>
        </w:rPr>
        <w:t xml:space="preserve">eam Management Type </w:t>
      </w:r>
      <w:r w:rsidR="0008525B">
        <w:rPr>
          <w:color w:val="000000" w:themeColor="text1"/>
          <w:sz w:val="20"/>
          <w:szCs w:val="20"/>
          <w:lang w:val="en-US"/>
        </w:rPr>
        <w:t>ta</w:t>
      </w:r>
      <w:r w:rsidRPr="003316A1">
        <w:rPr>
          <w:color w:val="000000" w:themeColor="text1"/>
          <w:sz w:val="20"/>
          <w:szCs w:val="20"/>
          <w:lang w:val="en-US"/>
        </w:rPr>
        <w:t>ble</w:t>
      </w:r>
      <w:r w:rsidR="0008525B">
        <w:rPr>
          <w:color w:val="000000" w:themeColor="text1"/>
          <w:sz w:val="20"/>
          <w:szCs w:val="20"/>
          <w:lang w:val="en-US"/>
        </w:rPr>
        <w:t xml:space="preserve"> considering the different band groups</w:t>
      </w:r>
      <w:r w:rsidRPr="003316A1">
        <w:rPr>
          <w:color w:val="000000" w:themeColor="text1"/>
          <w:sz w:val="20"/>
          <w:szCs w:val="20"/>
          <w:lang w:val="en-US"/>
        </w:rPr>
        <w:t>:</w:t>
      </w:r>
    </w:p>
    <w:p w14:paraId="4408D1E8" w14:textId="77777777" w:rsidR="007669B2" w:rsidRDefault="007669B2" w:rsidP="003316A1">
      <w:pPr>
        <w:rPr>
          <w:color w:val="000000" w:themeColor="text1"/>
          <w:sz w:val="20"/>
          <w:szCs w:val="20"/>
          <w:lang w:val="en-US"/>
        </w:rPr>
      </w:pPr>
    </w:p>
    <w:p w14:paraId="57DEB660" w14:textId="6F74CFD5" w:rsidR="003316A1" w:rsidRPr="007669B2" w:rsidRDefault="007669B2" w:rsidP="007669B2">
      <w:pPr>
        <w:pStyle w:val="TH"/>
      </w:pPr>
      <w:r w:rsidRPr="00C04A08">
        <w:t xml:space="preserve">Table </w:t>
      </w:r>
      <w:r>
        <w:t>1</w:t>
      </w:r>
      <w:r w:rsidRPr="00C04A08">
        <w:t xml:space="preserve">: </w:t>
      </w:r>
      <w:r>
        <w:t>Beam Management Type – Band groups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80"/>
        <w:gridCol w:w="3057"/>
      </w:tblGrid>
      <w:tr w:rsidR="003316A1" w14:paraId="6E7E0A43" w14:textId="77777777" w:rsidTr="0071713F">
        <w:trPr>
          <w:trHeight w:val="290"/>
          <w:jc w:val="center"/>
        </w:trPr>
        <w:tc>
          <w:tcPr>
            <w:tcW w:w="3180" w:type="dxa"/>
            <w:shd w:val="clear" w:color="auto" w:fill="D0CECE" w:themeFill="background2" w:themeFillShade="E6"/>
          </w:tcPr>
          <w:p w14:paraId="16076116" w14:textId="77777777" w:rsidR="003316A1" w:rsidRPr="00534D46" w:rsidRDefault="003316A1" w:rsidP="0071713F">
            <w:pPr>
              <w:pStyle w:val="NormalWeb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Band Groups</w:t>
            </w:r>
          </w:p>
        </w:tc>
        <w:tc>
          <w:tcPr>
            <w:tcW w:w="3057" w:type="dxa"/>
            <w:shd w:val="clear" w:color="auto" w:fill="D0CECE" w:themeFill="background2" w:themeFillShade="E6"/>
          </w:tcPr>
          <w:p w14:paraId="34244529" w14:textId="77777777" w:rsidR="003316A1" w:rsidRPr="00534D46" w:rsidRDefault="003316A1" w:rsidP="0071713F">
            <w:pPr>
              <w:pStyle w:val="NormalWeb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Beam Management Type</w:t>
            </w:r>
          </w:p>
        </w:tc>
      </w:tr>
      <w:tr w:rsidR="003316A1" w14:paraId="52226B6A" w14:textId="77777777" w:rsidTr="0071713F">
        <w:trPr>
          <w:trHeight w:val="67"/>
          <w:jc w:val="center"/>
        </w:trPr>
        <w:tc>
          <w:tcPr>
            <w:tcW w:w="3180" w:type="dxa"/>
          </w:tcPr>
          <w:p w14:paraId="745C9A68" w14:textId="77777777" w:rsidR="003316A1" w:rsidRPr="00534D46" w:rsidRDefault="003316A1" w:rsidP="0071713F">
            <w:pPr>
              <w:pStyle w:val="NormalWeb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28 GHz + 28 GHz</w:t>
            </w:r>
          </w:p>
        </w:tc>
        <w:tc>
          <w:tcPr>
            <w:tcW w:w="3057" w:type="dxa"/>
          </w:tcPr>
          <w:p w14:paraId="1F9C818B" w14:textId="77777777" w:rsidR="003316A1" w:rsidRPr="00534D46" w:rsidRDefault="003316A1" w:rsidP="0071713F">
            <w:pPr>
              <w:pStyle w:val="NormalWeb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CBM</w:t>
            </w:r>
          </w:p>
        </w:tc>
      </w:tr>
      <w:tr w:rsidR="003316A1" w14:paraId="5099ADE7" w14:textId="77777777" w:rsidTr="0071713F">
        <w:trPr>
          <w:trHeight w:val="67"/>
          <w:jc w:val="center"/>
        </w:trPr>
        <w:tc>
          <w:tcPr>
            <w:tcW w:w="3180" w:type="dxa"/>
          </w:tcPr>
          <w:p w14:paraId="0D7FAB03" w14:textId="77777777" w:rsidR="003316A1" w:rsidRDefault="003316A1" w:rsidP="0071713F">
            <w:pPr>
              <w:pStyle w:val="NormalWeb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39 GHz + 39 GHz</w:t>
            </w:r>
          </w:p>
        </w:tc>
        <w:tc>
          <w:tcPr>
            <w:tcW w:w="3057" w:type="dxa"/>
          </w:tcPr>
          <w:p w14:paraId="75D03BF9" w14:textId="77777777" w:rsidR="003316A1" w:rsidRPr="00534D46" w:rsidRDefault="003316A1" w:rsidP="0071713F">
            <w:pPr>
              <w:pStyle w:val="NormalWeb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CBM</w:t>
            </w:r>
          </w:p>
        </w:tc>
      </w:tr>
      <w:tr w:rsidR="003316A1" w14:paraId="3A1B95A1" w14:textId="77777777" w:rsidTr="0071713F">
        <w:trPr>
          <w:trHeight w:val="67"/>
          <w:jc w:val="center"/>
        </w:trPr>
        <w:tc>
          <w:tcPr>
            <w:tcW w:w="3180" w:type="dxa"/>
          </w:tcPr>
          <w:p w14:paraId="32B146DE" w14:textId="77777777" w:rsidR="003316A1" w:rsidRDefault="003316A1" w:rsidP="0071713F">
            <w:pPr>
              <w:pStyle w:val="NormalWeb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28 GHz + 39 GHz</w:t>
            </w:r>
          </w:p>
        </w:tc>
        <w:tc>
          <w:tcPr>
            <w:tcW w:w="3057" w:type="dxa"/>
          </w:tcPr>
          <w:p w14:paraId="55F88538" w14:textId="77777777" w:rsidR="003316A1" w:rsidRPr="00534D46" w:rsidRDefault="003316A1" w:rsidP="0071713F">
            <w:pPr>
              <w:pStyle w:val="NormalWeb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IBM</w:t>
            </w:r>
          </w:p>
        </w:tc>
      </w:tr>
      <w:tr w:rsidR="003316A1" w14:paraId="53F3B0F5" w14:textId="77777777" w:rsidTr="0071713F">
        <w:trPr>
          <w:trHeight w:val="67"/>
          <w:jc w:val="center"/>
        </w:trPr>
        <w:tc>
          <w:tcPr>
            <w:tcW w:w="3180" w:type="dxa"/>
          </w:tcPr>
          <w:p w14:paraId="4F4804A0" w14:textId="77777777" w:rsidR="003316A1" w:rsidRDefault="003316A1" w:rsidP="0071713F">
            <w:pPr>
              <w:pStyle w:val="NormalWeb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lastRenderedPageBreak/>
              <w:t>Intra-band CA</w:t>
            </w:r>
          </w:p>
        </w:tc>
        <w:tc>
          <w:tcPr>
            <w:tcW w:w="3057" w:type="dxa"/>
          </w:tcPr>
          <w:p w14:paraId="18E63E60" w14:textId="77777777" w:rsidR="003316A1" w:rsidRDefault="003316A1" w:rsidP="0071713F">
            <w:pPr>
              <w:pStyle w:val="NormalWeb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CBM</w:t>
            </w:r>
          </w:p>
        </w:tc>
      </w:tr>
    </w:tbl>
    <w:p w14:paraId="4DDBEB5D" w14:textId="5E603996" w:rsidR="003316A1" w:rsidRDefault="003316A1" w:rsidP="00586701">
      <w:pPr>
        <w:pStyle w:val="Proposal"/>
        <w:rPr>
          <w:b w:val="0"/>
          <w:bCs/>
        </w:rPr>
      </w:pPr>
    </w:p>
    <w:p w14:paraId="295C2F12" w14:textId="16EE1262" w:rsidR="003316A1" w:rsidRPr="00B27EF1" w:rsidRDefault="003316A1" w:rsidP="00B27EF1">
      <w:pPr>
        <w:pStyle w:val="Proposal"/>
        <w:rPr>
          <w:color w:val="000000" w:themeColor="text1"/>
          <w:lang w:val="en-US"/>
        </w:rPr>
      </w:pPr>
      <w:r>
        <w:t>Proposal 1:</w:t>
      </w:r>
      <w:r>
        <w:tab/>
      </w:r>
      <w:r>
        <w:tab/>
        <w:t>RAN4 shall capture</w:t>
      </w:r>
      <w:r w:rsidR="0008525B">
        <w:t xml:space="preserve"> in the specification the</w:t>
      </w:r>
      <w:r>
        <w:t xml:space="preserve"> </w:t>
      </w:r>
      <w:r>
        <w:rPr>
          <w:color w:val="000000" w:themeColor="text1"/>
          <w:lang w:val="en-US"/>
        </w:rPr>
        <w:t xml:space="preserve">beam management type assumption per band </w:t>
      </w:r>
      <w:r w:rsidR="00836B1E">
        <w:rPr>
          <w:color w:val="000000" w:themeColor="text1"/>
          <w:lang w:val="en-US"/>
        </w:rPr>
        <w:t>groups</w:t>
      </w:r>
      <w:r>
        <w:rPr>
          <w:color w:val="000000" w:themeColor="text1"/>
          <w:lang w:val="en-US"/>
        </w:rPr>
        <w:t xml:space="preserve"> as </w:t>
      </w:r>
      <w:r w:rsidR="0008525B">
        <w:rPr>
          <w:color w:val="000000" w:themeColor="text1"/>
          <w:lang w:val="en-US"/>
        </w:rPr>
        <w:t xml:space="preserve">shown </w:t>
      </w:r>
      <w:r>
        <w:rPr>
          <w:color w:val="000000" w:themeColor="text1"/>
          <w:lang w:val="en-US"/>
        </w:rPr>
        <w:t>in Table 1</w:t>
      </w:r>
      <w:r w:rsidR="007669B2">
        <w:rPr>
          <w:color w:val="000000" w:themeColor="text1"/>
          <w:lang w:val="en-US"/>
        </w:rPr>
        <w:t>.</w:t>
      </w:r>
      <w:r>
        <w:br/>
      </w:r>
    </w:p>
    <w:p w14:paraId="2C2D4D33" w14:textId="32F27C65" w:rsidR="00A711FD" w:rsidRDefault="00A711FD" w:rsidP="00A711FD">
      <w:pPr>
        <w:pStyle w:val="Heading2"/>
      </w:pPr>
      <w:r>
        <w:t>2.2</w:t>
      </w:r>
      <w:r>
        <w:tab/>
      </w:r>
      <w:r w:rsidR="00346459">
        <w:t>EIS</w:t>
      </w:r>
      <w:r>
        <w:t xml:space="preserve"> </w:t>
      </w:r>
      <w:r w:rsidR="003316A1">
        <w:t>relaxation structure for same frequency groups</w:t>
      </w:r>
    </w:p>
    <w:p w14:paraId="63718D4F" w14:textId="5E91E124" w:rsidR="007669B2" w:rsidRDefault="00346459" w:rsidP="00346459">
      <w:pPr>
        <w:pStyle w:val="NormalWeb"/>
        <w:rPr>
          <w:color w:val="000000" w:themeColor="text1"/>
          <w:sz w:val="20"/>
          <w:szCs w:val="20"/>
          <w:lang w:val="en-US"/>
        </w:rPr>
      </w:pPr>
      <w:r w:rsidRPr="00346459">
        <w:rPr>
          <w:color w:val="000000" w:themeColor="text1"/>
          <w:sz w:val="20"/>
          <w:szCs w:val="20"/>
        </w:rPr>
        <w:t>RAN4 agreed</w:t>
      </w:r>
      <w:r w:rsidR="003316A1" w:rsidRPr="00346459">
        <w:rPr>
          <w:color w:val="000000" w:themeColor="text1"/>
          <w:sz w:val="20"/>
          <w:szCs w:val="20"/>
          <w:lang w:val="en-US"/>
        </w:rPr>
        <w:t xml:space="preserve"> that intra-band CA requirement shall apply for inter-band CA between n260 and n259 band pair</w:t>
      </w:r>
      <w:r w:rsidR="00E45F16">
        <w:rPr>
          <w:color w:val="000000" w:themeColor="text1"/>
          <w:sz w:val="20"/>
          <w:szCs w:val="20"/>
          <w:lang w:val="en-US"/>
        </w:rPr>
        <w:t xml:space="preserve"> [1]</w:t>
      </w:r>
      <w:r w:rsidR="003316A1" w:rsidRPr="00346459">
        <w:rPr>
          <w:color w:val="000000" w:themeColor="text1"/>
          <w:sz w:val="20"/>
          <w:szCs w:val="20"/>
          <w:lang w:val="en-US"/>
        </w:rPr>
        <w:t>.  Since the intra-band CA requirement shall apply for 39</w:t>
      </w:r>
      <w:r w:rsidR="007669B2">
        <w:rPr>
          <w:color w:val="000000" w:themeColor="text1"/>
          <w:sz w:val="20"/>
          <w:szCs w:val="20"/>
          <w:lang w:val="en-US"/>
        </w:rPr>
        <w:t xml:space="preserve"> GHz</w:t>
      </w:r>
      <w:r w:rsidR="003316A1" w:rsidRPr="00346459">
        <w:rPr>
          <w:color w:val="000000" w:themeColor="text1"/>
          <w:sz w:val="20"/>
          <w:szCs w:val="20"/>
          <w:lang w:val="en-US"/>
        </w:rPr>
        <w:t xml:space="preserve"> + 39 GHz, we can conclude that the assumption for the beam management for inter-band CA 39 GHz + 39 GHz is CBM</w:t>
      </w:r>
      <w:r w:rsidR="007669B2">
        <w:rPr>
          <w:color w:val="000000" w:themeColor="text1"/>
          <w:sz w:val="20"/>
          <w:szCs w:val="20"/>
          <w:lang w:val="en-US"/>
        </w:rPr>
        <w:t xml:space="preserve"> as assumed for the intra-band CA case</w:t>
      </w:r>
      <w:r w:rsidR="003316A1" w:rsidRPr="00346459">
        <w:rPr>
          <w:color w:val="000000" w:themeColor="text1"/>
          <w:sz w:val="20"/>
          <w:szCs w:val="20"/>
          <w:lang w:val="en-US"/>
        </w:rPr>
        <w:t>.</w:t>
      </w:r>
      <w:r w:rsidRPr="00346459">
        <w:rPr>
          <w:color w:val="000000" w:themeColor="text1"/>
          <w:sz w:val="20"/>
          <w:szCs w:val="20"/>
          <w:lang w:val="en-US"/>
        </w:rPr>
        <w:t xml:space="preserve"> Additionally,</w:t>
      </w:r>
      <w:r>
        <w:rPr>
          <w:i/>
          <w:iCs/>
          <w:color w:val="000000" w:themeColor="text1"/>
          <w:sz w:val="20"/>
          <w:szCs w:val="20"/>
          <w:lang w:val="en-US"/>
        </w:rPr>
        <w:t xml:space="preserve"> </w:t>
      </w:r>
      <w:r w:rsidR="007669B2">
        <w:rPr>
          <w:color w:val="000000" w:themeColor="text1"/>
          <w:sz w:val="20"/>
          <w:szCs w:val="20"/>
          <w:lang w:val="en-US"/>
        </w:rPr>
        <w:t>i</w:t>
      </w:r>
      <w:r w:rsidR="003316A1">
        <w:rPr>
          <w:color w:val="000000" w:themeColor="text1"/>
          <w:sz w:val="20"/>
          <w:szCs w:val="20"/>
          <w:lang w:val="en-US"/>
        </w:rPr>
        <w:t>n the WF</w:t>
      </w:r>
      <w:r>
        <w:rPr>
          <w:color w:val="000000" w:themeColor="text1"/>
          <w:sz w:val="20"/>
          <w:szCs w:val="20"/>
          <w:lang w:val="en-US"/>
        </w:rPr>
        <w:t xml:space="preserve"> </w:t>
      </w:r>
      <w:r w:rsidR="003316A1">
        <w:rPr>
          <w:color w:val="000000" w:themeColor="text1"/>
          <w:sz w:val="20"/>
          <w:szCs w:val="20"/>
          <w:lang w:val="en-US"/>
        </w:rPr>
        <w:t>[</w:t>
      </w:r>
      <w:r w:rsidR="00CF7D85">
        <w:rPr>
          <w:color w:val="000000" w:themeColor="text1"/>
          <w:sz w:val="20"/>
          <w:szCs w:val="20"/>
          <w:lang w:val="en-US"/>
        </w:rPr>
        <w:t>4</w:t>
      </w:r>
      <w:r w:rsidR="003316A1">
        <w:rPr>
          <w:color w:val="000000" w:themeColor="text1"/>
          <w:sz w:val="20"/>
          <w:szCs w:val="20"/>
          <w:lang w:val="en-US"/>
        </w:rPr>
        <w:t>]</w:t>
      </w:r>
      <w:r w:rsidR="007D02F7">
        <w:rPr>
          <w:color w:val="000000" w:themeColor="text1"/>
          <w:sz w:val="20"/>
          <w:szCs w:val="20"/>
          <w:lang w:val="en-US"/>
        </w:rPr>
        <w:t xml:space="preserve"> </w:t>
      </w:r>
      <w:r>
        <w:rPr>
          <w:color w:val="000000" w:themeColor="text1"/>
          <w:sz w:val="20"/>
          <w:szCs w:val="20"/>
          <w:lang w:val="en-US"/>
        </w:rPr>
        <w:t xml:space="preserve">it was </w:t>
      </w:r>
      <w:r w:rsidR="007D02F7">
        <w:rPr>
          <w:color w:val="000000" w:themeColor="text1"/>
          <w:sz w:val="20"/>
          <w:szCs w:val="20"/>
          <w:lang w:val="en-US"/>
        </w:rPr>
        <w:t xml:space="preserve">agreed </w:t>
      </w:r>
      <w:r>
        <w:rPr>
          <w:color w:val="000000" w:themeColor="text1"/>
          <w:sz w:val="20"/>
          <w:szCs w:val="20"/>
          <w:lang w:val="en-US"/>
        </w:rPr>
        <w:t xml:space="preserve">that </w:t>
      </w:r>
      <w:r w:rsidR="007D02F7">
        <w:rPr>
          <w:color w:val="000000" w:themeColor="text1"/>
          <w:sz w:val="20"/>
          <w:szCs w:val="20"/>
          <w:lang w:val="en-US"/>
        </w:rPr>
        <w:t>for inter-band DL CA within the same frequency group based on CBM</w:t>
      </w:r>
      <w:r>
        <w:rPr>
          <w:color w:val="000000" w:themeColor="text1"/>
          <w:sz w:val="20"/>
          <w:szCs w:val="20"/>
          <w:lang w:val="en-US"/>
        </w:rPr>
        <w:t>, t</w:t>
      </w:r>
      <w:r w:rsidR="007D02F7">
        <w:rPr>
          <w:color w:val="000000" w:themeColor="text1"/>
          <w:sz w:val="20"/>
          <w:szCs w:val="20"/>
          <w:lang w:val="en-US"/>
        </w:rPr>
        <w:t>he requirement for maximum input level, ACS and in-band blocking will be specif</w:t>
      </w:r>
      <w:r>
        <w:rPr>
          <w:color w:val="000000" w:themeColor="text1"/>
          <w:sz w:val="20"/>
          <w:szCs w:val="20"/>
          <w:lang w:val="en-US"/>
        </w:rPr>
        <w:t xml:space="preserve">ied </w:t>
      </w:r>
      <w:r w:rsidR="007D02F7">
        <w:rPr>
          <w:color w:val="000000" w:themeColor="text1"/>
          <w:sz w:val="20"/>
          <w:szCs w:val="20"/>
          <w:lang w:val="en-US"/>
        </w:rPr>
        <w:t xml:space="preserve">the same as that for intra-band CA scenarios. </w:t>
      </w:r>
    </w:p>
    <w:p w14:paraId="20BB0821" w14:textId="67CA4FD5" w:rsidR="00530AAB" w:rsidRPr="007669B2" w:rsidRDefault="007D02F7" w:rsidP="007669B2">
      <w:pPr>
        <w:pStyle w:val="NormalWeb"/>
        <w:rPr>
          <w:i/>
          <w:iCs/>
          <w:color w:val="000000" w:themeColor="text1"/>
          <w:sz w:val="20"/>
          <w:szCs w:val="20"/>
          <w:lang w:val="en-US"/>
        </w:rPr>
      </w:pPr>
      <w:r>
        <w:rPr>
          <w:color w:val="000000" w:themeColor="text1"/>
          <w:sz w:val="20"/>
          <w:szCs w:val="20"/>
          <w:lang w:val="en-US"/>
        </w:rPr>
        <w:t xml:space="preserve">Therefore, we consider </w:t>
      </w:r>
      <w:r w:rsidR="007669B2">
        <w:rPr>
          <w:color w:val="000000" w:themeColor="text1"/>
          <w:sz w:val="20"/>
          <w:szCs w:val="20"/>
          <w:lang w:val="en-US"/>
        </w:rPr>
        <w:t xml:space="preserve">that a </w:t>
      </w:r>
      <w:r>
        <w:rPr>
          <w:color w:val="000000" w:themeColor="text1"/>
          <w:sz w:val="20"/>
          <w:szCs w:val="20"/>
          <w:lang w:val="en-US"/>
        </w:rPr>
        <w:t xml:space="preserve">similar approach should be </w:t>
      </w:r>
      <w:r w:rsidR="00346459">
        <w:rPr>
          <w:color w:val="000000" w:themeColor="text1"/>
          <w:sz w:val="20"/>
          <w:szCs w:val="20"/>
          <w:lang w:val="en-US"/>
        </w:rPr>
        <w:t xml:space="preserve">taken </w:t>
      </w:r>
      <w:r w:rsidR="00B27EF1">
        <w:rPr>
          <w:color w:val="000000" w:themeColor="text1"/>
          <w:sz w:val="20"/>
          <w:szCs w:val="20"/>
          <w:lang w:val="en-US"/>
        </w:rPr>
        <w:t>for</w:t>
      </w:r>
      <w:r>
        <w:rPr>
          <w:color w:val="000000" w:themeColor="text1"/>
          <w:sz w:val="20"/>
          <w:szCs w:val="20"/>
          <w:lang w:val="en-US"/>
        </w:rPr>
        <w:t xml:space="preserve"> </w:t>
      </w:r>
      <w:r w:rsidR="00346459">
        <w:rPr>
          <w:color w:val="000000" w:themeColor="text1"/>
          <w:sz w:val="20"/>
          <w:szCs w:val="20"/>
          <w:lang w:val="en-US"/>
        </w:rPr>
        <w:t>the EIS relaxation</w:t>
      </w:r>
      <w:r w:rsidR="00B27EF1">
        <w:rPr>
          <w:color w:val="000000" w:themeColor="text1"/>
          <w:sz w:val="20"/>
          <w:szCs w:val="20"/>
          <w:lang w:val="en-US"/>
        </w:rPr>
        <w:t xml:space="preserve">. </w:t>
      </w:r>
      <w:r>
        <w:rPr>
          <w:color w:val="000000" w:themeColor="text1"/>
          <w:sz w:val="20"/>
          <w:szCs w:val="20"/>
          <w:lang w:val="en-US"/>
        </w:rPr>
        <w:t>The</w:t>
      </w:r>
      <w:r w:rsidR="00346459">
        <w:rPr>
          <w:color w:val="000000" w:themeColor="text1"/>
          <w:sz w:val="20"/>
          <w:szCs w:val="20"/>
          <w:lang w:val="en-US"/>
        </w:rPr>
        <w:t xml:space="preserve"> EIS relaxation for </w:t>
      </w:r>
      <w:r>
        <w:rPr>
          <w:color w:val="000000" w:themeColor="text1"/>
          <w:sz w:val="20"/>
          <w:szCs w:val="20"/>
          <w:lang w:val="en-US"/>
        </w:rPr>
        <w:t xml:space="preserve">intra-band non-contiguous CA is defined </w:t>
      </w:r>
      <w:r w:rsidR="00B27EF1">
        <w:rPr>
          <w:color w:val="000000" w:themeColor="text1"/>
          <w:sz w:val="20"/>
          <w:szCs w:val="20"/>
          <w:lang w:val="en-US"/>
        </w:rPr>
        <w:t xml:space="preserve">as in Table </w:t>
      </w:r>
      <w:r w:rsidR="007669B2">
        <w:rPr>
          <w:color w:val="000000" w:themeColor="text1"/>
          <w:sz w:val="20"/>
          <w:szCs w:val="20"/>
          <w:lang w:val="en-US"/>
        </w:rPr>
        <w:t>2</w:t>
      </w:r>
      <w:r w:rsidR="00B27EF1">
        <w:rPr>
          <w:color w:val="000000" w:themeColor="text1"/>
          <w:sz w:val="20"/>
          <w:szCs w:val="20"/>
          <w:lang w:val="en-US"/>
        </w:rPr>
        <w:t xml:space="preserve">, with a configured downlink spectrum up to 2400 </w:t>
      </w:r>
      <w:proofErr w:type="spellStart"/>
      <w:r w:rsidR="00B27EF1">
        <w:rPr>
          <w:color w:val="000000" w:themeColor="text1"/>
          <w:sz w:val="20"/>
          <w:szCs w:val="20"/>
          <w:lang w:val="en-US"/>
        </w:rPr>
        <w:t>MHz.</w:t>
      </w:r>
      <w:proofErr w:type="spellEnd"/>
      <w:r w:rsidR="00B27EF1">
        <w:rPr>
          <w:color w:val="000000" w:themeColor="text1"/>
          <w:sz w:val="20"/>
          <w:szCs w:val="20"/>
          <w:lang w:val="en-US"/>
        </w:rPr>
        <w:t xml:space="preserve"> </w:t>
      </w:r>
      <w:r w:rsidR="007669B2">
        <w:rPr>
          <w:color w:val="000000" w:themeColor="text1"/>
          <w:sz w:val="20"/>
          <w:szCs w:val="20"/>
          <w:lang w:val="en-US"/>
        </w:rPr>
        <w:t>Considering these observations, t</w:t>
      </w:r>
      <w:r w:rsidR="00B27EF1">
        <w:rPr>
          <w:color w:val="000000" w:themeColor="text1"/>
          <w:sz w:val="20"/>
          <w:szCs w:val="20"/>
          <w:lang w:val="en-US"/>
        </w:rPr>
        <w:t xml:space="preserve">he same </w:t>
      </w:r>
      <w:r w:rsidR="00346459">
        <w:rPr>
          <w:color w:val="000000" w:themeColor="text1"/>
          <w:sz w:val="20"/>
          <w:szCs w:val="20"/>
          <w:lang w:val="en-US"/>
        </w:rPr>
        <w:t>EIS</w:t>
      </w:r>
      <w:r w:rsidR="00B27EF1">
        <w:rPr>
          <w:color w:val="000000" w:themeColor="text1"/>
          <w:sz w:val="20"/>
          <w:szCs w:val="20"/>
          <w:lang w:val="en-US"/>
        </w:rPr>
        <w:t xml:space="preserve"> relaxation</w:t>
      </w:r>
      <w:r w:rsidR="00E45F16">
        <w:rPr>
          <w:color w:val="000000" w:themeColor="text1"/>
          <w:sz w:val="20"/>
          <w:szCs w:val="20"/>
          <w:lang w:val="en-US"/>
        </w:rPr>
        <w:t xml:space="preserve"> structure as for intra-band CA</w:t>
      </w:r>
      <w:r w:rsidR="00B27EF1">
        <w:rPr>
          <w:color w:val="000000" w:themeColor="text1"/>
          <w:sz w:val="20"/>
          <w:szCs w:val="20"/>
          <w:lang w:val="en-US"/>
        </w:rPr>
        <w:t xml:space="preserve"> should apply to both bands of </w:t>
      </w:r>
      <w:r w:rsidR="007669B2">
        <w:rPr>
          <w:color w:val="000000" w:themeColor="text1"/>
          <w:sz w:val="20"/>
          <w:szCs w:val="20"/>
          <w:lang w:val="en-US"/>
        </w:rPr>
        <w:t xml:space="preserve">the </w:t>
      </w:r>
      <w:r w:rsidR="00B27EF1">
        <w:rPr>
          <w:color w:val="000000" w:themeColor="text1"/>
          <w:sz w:val="20"/>
          <w:szCs w:val="20"/>
          <w:lang w:val="en-US"/>
        </w:rPr>
        <w:t>band pair within the same frequency group</w:t>
      </w:r>
      <w:r w:rsidR="00346459">
        <w:rPr>
          <w:color w:val="000000" w:themeColor="text1"/>
          <w:sz w:val="20"/>
          <w:szCs w:val="20"/>
          <w:lang w:val="en-US"/>
        </w:rPr>
        <w:t xml:space="preserve"> for inter-band CA</w:t>
      </w:r>
      <w:r w:rsidR="00B27EF1">
        <w:rPr>
          <w:color w:val="000000" w:themeColor="text1"/>
          <w:sz w:val="20"/>
          <w:szCs w:val="20"/>
          <w:lang w:val="en-US"/>
        </w:rPr>
        <w:t>.</w:t>
      </w:r>
    </w:p>
    <w:p w14:paraId="1A98D9AA" w14:textId="3C48C479" w:rsidR="00530AAB" w:rsidRPr="00C04A08" w:rsidRDefault="00530AAB" w:rsidP="00530AAB">
      <w:pPr>
        <w:pStyle w:val="TH"/>
      </w:pPr>
      <w:r w:rsidRPr="00C04A08">
        <w:t xml:space="preserve">Table </w:t>
      </w:r>
      <w:r w:rsidR="007669B2">
        <w:t>2</w:t>
      </w:r>
      <w:r w:rsidRPr="00C04A08">
        <w:t>: EIS Relaxation for CA operation</w:t>
      </w:r>
    </w:p>
    <w:tbl>
      <w:tblPr>
        <w:tblW w:w="6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3"/>
        <w:gridCol w:w="1872"/>
      </w:tblGrid>
      <w:tr w:rsidR="00530AAB" w:rsidRPr="00C04A08" w14:paraId="7983C9BB" w14:textId="77777777" w:rsidTr="0071713F">
        <w:trPr>
          <w:trHeight w:val="187"/>
          <w:jc w:val="center"/>
        </w:trPr>
        <w:tc>
          <w:tcPr>
            <w:tcW w:w="4923" w:type="dxa"/>
            <w:vAlign w:val="center"/>
          </w:tcPr>
          <w:p w14:paraId="74E30C0C" w14:textId="77777777" w:rsidR="00530AAB" w:rsidRPr="00C04A08" w:rsidRDefault="00530AAB" w:rsidP="0071713F">
            <w:pPr>
              <w:pStyle w:val="TAH"/>
              <w:rPr>
                <w:rFonts w:eastAsia="Malgun Gothic"/>
              </w:rPr>
            </w:pPr>
            <w:r w:rsidRPr="00C04A08">
              <w:t>Configured DL spectrum</w:t>
            </w:r>
            <w:r w:rsidRPr="00C04A08">
              <w:rPr>
                <w:rFonts w:eastAsia="Malgun Gothic"/>
              </w:rPr>
              <w:t xml:space="preserve"> (MHz)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45521887" w14:textId="77777777" w:rsidR="00530AAB" w:rsidRPr="00C04A08" w:rsidRDefault="00530AAB" w:rsidP="0071713F">
            <w:pPr>
              <w:pStyle w:val="TAH"/>
              <w:rPr>
                <w:rFonts w:eastAsia="Malgun Gothic"/>
              </w:rPr>
            </w:pPr>
            <w:r w:rsidRPr="00C04A08">
              <w:rPr>
                <w:rFonts w:eastAsia="Malgun Gothic"/>
              </w:rPr>
              <w:t xml:space="preserve"> (dB)</w:t>
            </w:r>
          </w:p>
        </w:tc>
      </w:tr>
      <w:tr w:rsidR="00530AAB" w:rsidRPr="00C04A08" w14:paraId="1991A380" w14:textId="77777777" w:rsidTr="0071713F">
        <w:trPr>
          <w:trHeight w:val="187"/>
          <w:jc w:val="center"/>
        </w:trPr>
        <w:tc>
          <w:tcPr>
            <w:tcW w:w="4923" w:type="dxa"/>
            <w:vAlign w:val="center"/>
          </w:tcPr>
          <w:p w14:paraId="4FDF1134" w14:textId="77777777" w:rsidR="00530AAB" w:rsidRPr="00C04A08" w:rsidRDefault="00530AAB" w:rsidP="0071713F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C04A08">
              <w:rPr>
                <w:rFonts w:ascii="Arial" w:eastAsia="Malgun Gothic" w:hAnsi="Arial"/>
                <w:bCs/>
                <w:sz w:val="18"/>
              </w:rPr>
              <w:t>≤ 800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A3E4E9" w14:textId="77777777" w:rsidR="00530AAB" w:rsidRPr="00C04A08" w:rsidRDefault="00530AAB" w:rsidP="0071713F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C04A08">
              <w:rPr>
                <w:rFonts w:ascii="Arial" w:eastAsia="Malgun Gothic" w:hAnsi="Arial"/>
                <w:bCs/>
                <w:sz w:val="18"/>
              </w:rPr>
              <w:t>0.0</w:t>
            </w:r>
          </w:p>
        </w:tc>
      </w:tr>
      <w:tr w:rsidR="00530AAB" w:rsidRPr="00C04A08" w14:paraId="782C23D4" w14:textId="77777777" w:rsidTr="0071713F">
        <w:trPr>
          <w:trHeight w:val="187"/>
          <w:jc w:val="center"/>
        </w:trPr>
        <w:tc>
          <w:tcPr>
            <w:tcW w:w="4923" w:type="dxa"/>
            <w:vAlign w:val="center"/>
          </w:tcPr>
          <w:p w14:paraId="033A2BB6" w14:textId="77777777" w:rsidR="00530AAB" w:rsidRPr="00C04A08" w:rsidRDefault="00530AAB" w:rsidP="0071713F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C04A08">
              <w:rPr>
                <w:rFonts w:eastAsia="Malgun Gothic"/>
                <w:bCs/>
                <w:sz w:val="18"/>
              </w:rPr>
              <w:t xml:space="preserve">&gt; </w:t>
            </w:r>
            <w:r w:rsidRPr="00C04A08">
              <w:rPr>
                <w:rFonts w:ascii="Arial" w:eastAsia="Malgun Gothic" w:hAnsi="Arial"/>
                <w:bCs/>
                <w:sz w:val="18"/>
              </w:rPr>
              <w:t xml:space="preserve">800 </w:t>
            </w:r>
            <w:r w:rsidRPr="00C04A08">
              <w:rPr>
                <w:rFonts w:ascii="Arial" w:eastAsia="Malgun Gothic" w:hAnsi="Arial"/>
                <w:sz w:val="18"/>
              </w:rPr>
              <w:t xml:space="preserve">and </w:t>
            </w:r>
            <w:r w:rsidRPr="00C04A08">
              <w:rPr>
                <w:rFonts w:ascii="Arial" w:eastAsia="Malgun Gothic" w:hAnsi="Arial"/>
                <w:bCs/>
                <w:sz w:val="18"/>
              </w:rPr>
              <w:t>≤ 1400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69ABA029" w14:textId="77777777" w:rsidR="00530AAB" w:rsidRPr="00C04A08" w:rsidRDefault="00530AAB" w:rsidP="0071713F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C04A08">
              <w:rPr>
                <w:rFonts w:ascii="Arial" w:eastAsia="Malgun Gothic" w:hAnsi="Arial"/>
                <w:bCs/>
                <w:sz w:val="18"/>
              </w:rPr>
              <w:t>0.5</w:t>
            </w:r>
          </w:p>
        </w:tc>
      </w:tr>
      <w:tr w:rsidR="00530AAB" w:rsidRPr="00C04A08" w14:paraId="6AB9DF5D" w14:textId="77777777" w:rsidTr="0071713F">
        <w:trPr>
          <w:trHeight w:val="187"/>
          <w:jc w:val="center"/>
        </w:trPr>
        <w:tc>
          <w:tcPr>
            <w:tcW w:w="4923" w:type="dxa"/>
            <w:vAlign w:val="center"/>
          </w:tcPr>
          <w:p w14:paraId="5067722D" w14:textId="77777777" w:rsidR="00530AAB" w:rsidRPr="00C04A08" w:rsidRDefault="00530AAB" w:rsidP="0071713F">
            <w:pPr>
              <w:keepNext/>
              <w:keepLines/>
              <w:jc w:val="center"/>
              <w:rPr>
                <w:rFonts w:eastAsia="Malgun Gothic"/>
                <w:bCs/>
                <w:sz w:val="18"/>
              </w:rPr>
            </w:pPr>
            <w:r w:rsidRPr="00C04A08">
              <w:rPr>
                <w:rFonts w:eastAsia="Malgun Gothic"/>
                <w:bCs/>
                <w:sz w:val="18"/>
              </w:rPr>
              <w:t xml:space="preserve">&gt; 1400 </w:t>
            </w:r>
            <w:r w:rsidRPr="00C04A08">
              <w:rPr>
                <w:rFonts w:ascii="Arial" w:eastAsia="Malgun Gothic" w:hAnsi="Arial"/>
                <w:sz w:val="18"/>
              </w:rPr>
              <w:t xml:space="preserve">and </w:t>
            </w:r>
            <w:r w:rsidRPr="00C04A08">
              <w:rPr>
                <w:rFonts w:ascii="Arial" w:eastAsia="Malgun Gothic" w:hAnsi="Arial"/>
                <w:bCs/>
                <w:sz w:val="18"/>
              </w:rPr>
              <w:t>≤ 2400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94136C" w14:textId="77777777" w:rsidR="00530AAB" w:rsidRPr="00C04A08" w:rsidRDefault="00530AAB" w:rsidP="0071713F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C04A08">
              <w:rPr>
                <w:rFonts w:ascii="Arial" w:eastAsia="Malgun Gothic" w:hAnsi="Arial"/>
                <w:bCs/>
                <w:sz w:val="18"/>
              </w:rPr>
              <w:t>1.5</w:t>
            </w:r>
          </w:p>
        </w:tc>
      </w:tr>
    </w:tbl>
    <w:p w14:paraId="51B7FE05" w14:textId="77777777" w:rsidR="00530AAB" w:rsidRPr="00530AAB" w:rsidRDefault="00530AAB" w:rsidP="00530AAB">
      <w:pPr>
        <w:rPr>
          <w:lang w:eastAsia="en-US"/>
        </w:rPr>
      </w:pPr>
    </w:p>
    <w:p w14:paraId="68450FAC" w14:textId="02742FBA" w:rsidR="00F638FE" w:rsidRDefault="00FC2E7D" w:rsidP="00FC2E7D">
      <w:pPr>
        <w:pStyle w:val="Proposal"/>
      </w:pPr>
      <w:r>
        <w:t>Proposal 2:</w:t>
      </w:r>
      <w:r>
        <w:tab/>
      </w:r>
      <w:r>
        <w:tab/>
      </w:r>
      <w:r w:rsidR="00346459">
        <w:rPr>
          <w:color w:val="000000" w:themeColor="text1"/>
          <w:lang w:val="en-US"/>
        </w:rPr>
        <w:t xml:space="preserve">The same EIS relaxation </w:t>
      </w:r>
      <w:r w:rsidR="00E45F16">
        <w:rPr>
          <w:color w:val="000000" w:themeColor="text1"/>
          <w:lang w:val="en-US"/>
        </w:rPr>
        <w:t xml:space="preserve">structure as for intra-band CA </w:t>
      </w:r>
      <w:r w:rsidR="00346459">
        <w:rPr>
          <w:color w:val="000000" w:themeColor="text1"/>
          <w:lang w:val="en-US"/>
        </w:rPr>
        <w:t xml:space="preserve">should apply to both bands of </w:t>
      </w:r>
      <w:r w:rsidR="007669B2">
        <w:rPr>
          <w:color w:val="000000" w:themeColor="text1"/>
          <w:lang w:val="en-US"/>
        </w:rPr>
        <w:t xml:space="preserve">the </w:t>
      </w:r>
      <w:r w:rsidR="00346459">
        <w:rPr>
          <w:color w:val="000000" w:themeColor="text1"/>
          <w:lang w:val="en-US"/>
        </w:rPr>
        <w:t>band pair within the same frequency group for inter-band CA.</w:t>
      </w:r>
    </w:p>
    <w:p w14:paraId="3B22487E" w14:textId="6F73B7D3" w:rsidR="003316A1" w:rsidRDefault="003316A1" w:rsidP="003316A1">
      <w:pPr>
        <w:pStyle w:val="Heading2"/>
      </w:pPr>
      <w:r>
        <w:t>2.3</w:t>
      </w:r>
      <w:r>
        <w:tab/>
        <w:t>EIS spherical coverage same frequency groups</w:t>
      </w:r>
    </w:p>
    <w:p w14:paraId="7644D42B" w14:textId="70455ED8" w:rsidR="007D02F7" w:rsidRPr="00C879BA" w:rsidRDefault="00927D88" w:rsidP="007D02F7">
      <w:pPr>
        <w:rPr>
          <w:sz w:val="20"/>
          <w:szCs w:val="20"/>
          <w:lang w:eastAsia="en-US"/>
        </w:rPr>
      </w:pPr>
      <w:r w:rsidRPr="00C879BA">
        <w:rPr>
          <w:sz w:val="20"/>
          <w:szCs w:val="20"/>
          <w:lang w:eastAsia="en-US"/>
        </w:rPr>
        <w:t xml:space="preserve">Similar </w:t>
      </w:r>
      <w:r w:rsidR="00346459" w:rsidRPr="00C879BA">
        <w:rPr>
          <w:sz w:val="20"/>
          <w:szCs w:val="20"/>
          <w:lang w:eastAsia="en-US"/>
        </w:rPr>
        <w:t xml:space="preserve">approach as described in </w:t>
      </w:r>
      <w:r w:rsidRPr="00C879BA">
        <w:rPr>
          <w:sz w:val="20"/>
          <w:szCs w:val="20"/>
          <w:lang w:eastAsia="en-US"/>
        </w:rPr>
        <w:t>t</w:t>
      </w:r>
      <w:r w:rsidR="00346459" w:rsidRPr="00C879BA">
        <w:rPr>
          <w:sz w:val="20"/>
          <w:szCs w:val="20"/>
          <w:lang w:eastAsia="en-US"/>
        </w:rPr>
        <w:t xml:space="preserve">he </w:t>
      </w:r>
      <w:r w:rsidRPr="00C879BA">
        <w:rPr>
          <w:sz w:val="20"/>
          <w:szCs w:val="20"/>
          <w:lang w:eastAsia="en-US"/>
        </w:rPr>
        <w:t>subsection 2.2</w:t>
      </w:r>
      <w:r w:rsidR="00346459" w:rsidRPr="00C879BA">
        <w:rPr>
          <w:sz w:val="20"/>
          <w:szCs w:val="20"/>
          <w:lang w:eastAsia="en-US"/>
        </w:rPr>
        <w:t xml:space="preserve"> should be considered for the EIS spherical coverage requirement. RAN4 </w:t>
      </w:r>
      <w:r w:rsidRPr="00C879BA">
        <w:rPr>
          <w:sz w:val="20"/>
          <w:szCs w:val="20"/>
          <w:lang w:eastAsia="en-US"/>
        </w:rPr>
        <w:t>assume</w:t>
      </w:r>
      <w:r w:rsidR="00346459" w:rsidRPr="00C879BA">
        <w:rPr>
          <w:sz w:val="20"/>
          <w:szCs w:val="20"/>
          <w:lang w:eastAsia="en-US"/>
        </w:rPr>
        <w:t>s</w:t>
      </w:r>
      <w:r w:rsidRPr="00C879BA">
        <w:rPr>
          <w:sz w:val="20"/>
          <w:szCs w:val="20"/>
          <w:lang w:eastAsia="en-US"/>
        </w:rPr>
        <w:t xml:space="preserve"> that the intra-band CA requirement should apply to inter-band DL CA within the same frequency group based on CBM. </w:t>
      </w:r>
      <w:r w:rsidR="00346459" w:rsidRPr="00C879BA">
        <w:rPr>
          <w:sz w:val="20"/>
          <w:szCs w:val="20"/>
          <w:lang w:eastAsia="en-US"/>
        </w:rPr>
        <w:t xml:space="preserve">For intra-band CA with CBM, co-located scenario is assumed, </w:t>
      </w:r>
      <w:r w:rsidR="007669B2">
        <w:rPr>
          <w:sz w:val="20"/>
          <w:szCs w:val="20"/>
          <w:lang w:eastAsia="en-US"/>
        </w:rPr>
        <w:t xml:space="preserve">thus </w:t>
      </w:r>
      <w:r w:rsidR="00346459" w:rsidRPr="00C879BA">
        <w:rPr>
          <w:sz w:val="20"/>
          <w:szCs w:val="20"/>
          <w:lang w:eastAsia="en-US"/>
        </w:rPr>
        <w:t>the beam squint effect can be verified with REFSENS requirement. In our view</w:t>
      </w:r>
      <w:r w:rsidRPr="00C879BA">
        <w:rPr>
          <w:sz w:val="20"/>
          <w:szCs w:val="20"/>
          <w:lang w:eastAsia="en-US"/>
        </w:rPr>
        <w:t xml:space="preserve"> similar assumption as for the REFSENS relaxation requirement should be followed for the EIS spherical coverage requirement.</w:t>
      </w:r>
      <w:r w:rsidR="00346459" w:rsidRPr="00C879BA">
        <w:rPr>
          <w:sz w:val="20"/>
          <w:szCs w:val="20"/>
          <w:lang w:eastAsia="en-US"/>
        </w:rPr>
        <w:t xml:space="preserve"> For</w:t>
      </w:r>
      <w:r w:rsidR="0018461A" w:rsidRPr="00C879BA">
        <w:rPr>
          <w:sz w:val="20"/>
          <w:szCs w:val="20"/>
          <w:lang w:eastAsia="en-US"/>
        </w:rPr>
        <w:t xml:space="preserve"> intra-band CA with CBM no spherical coverage was defined. Following the same approach</w:t>
      </w:r>
      <w:r w:rsidR="00346459" w:rsidRPr="00C879BA">
        <w:rPr>
          <w:sz w:val="20"/>
          <w:szCs w:val="20"/>
          <w:lang w:eastAsia="en-US"/>
        </w:rPr>
        <w:t xml:space="preserve"> as in intra-band CA</w:t>
      </w:r>
      <w:r w:rsidR="0018461A" w:rsidRPr="00C879BA">
        <w:rPr>
          <w:sz w:val="20"/>
          <w:szCs w:val="20"/>
          <w:lang w:eastAsia="en-US"/>
        </w:rPr>
        <w:t>, EIS spherical coverage defini</w:t>
      </w:r>
      <w:r w:rsidR="00346459" w:rsidRPr="00C879BA">
        <w:rPr>
          <w:sz w:val="20"/>
          <w:szCs w:val="20"/>
          <w:lang w:eastAsia="en-US"/>
        </w:rPr>
        <w:t>tio</w:t>
      </w:r>
      <w:r w:rsidR="0018461A" w:rsidRPr="00C879BA">
        <w:rPr>
          <w:sz w:val="20"/>
          <w:szCs w:val="20"/>
          <w:lang w:eastAsia="en-US"/>
        </w:rPr>
        <w:t>n for inter-band CA with same frequency group based on CBM</w:t>
      </w:r>
      <w:r w:rsidR="00346459" w:rsidRPr="00C879BA">
        <w:rPr>
          <w:sz w:val="20"/>
          <w:szCs w:val="20"/>
          <w:lang w:eastAsia="en-US"/>
        </w:rPr>
        <w:t xml:space="preserve"> should not be defined.</w:t>
      </w:r>
    </w:p>
    <w:p w14:paraId="2730B1B7" w14:textId="77777777" w:rsidR="00FC2E7D" w:rsidRPr="00FC2E7D" w:rsidRDefault="00FC2E7D" w:rsidP="007D02F7">
      <w:pPr>
        <w:rPr>
          <w:sz w:val="22"/>
          <w:szCs w:val="22"/>
          <w:lang w:eastAsia="en-US"/>
        </w:rPr>
      </w:pPr>
    </w:p>
    <w:p w14:paraId="42C46B92" w14:textId="4FB49EBC" w:rsidR="007609CD" w:rsidRPr="00C879BA" w:rsidRDefault="00FC2E7D" w:rsidP="00346459">
      <w:pPr>
        <w:pStyle w:val="Proposal"/>
      </w:pPr>
      <w:r w:rsidRPr="00C879BA">
        <w:t>Proposal 3:</w:t>
      </w:r>
      <w:r w:rsidRPr="00C879BA">
        <w:tab/>
      </w:r>
      <w:r w:rsidR="00346459" w:rsidRPr="00C879BA">
        <w:t>Following the same approach as for intra-band CA, EIS spherical coverage definition for inter-band CA with same frequency group based on CBM should not be defined.</w:t>
      </w:r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0CDB6543" w14:textId="4A343ACA" w:rsidR="007F3BEB" w:rsidRPr="00C879BA" w:rsidRDefault="00FA5857" w:rsidP="007F3BEB">
      <w:pPr>
        <w:rPr>
          <w:color w:val="000000" w:themeColor="text1"/>
          <w:sz w:val="20"/>
          <w:szCs w:val="20"/>
          <w:lang w:val="en-US"/>
        </w:rPr>
      </w:pPr>
      <w:r w:rsidRPr="00C879BA">
        <w:rPr>
          <w:sz w:val="20"/>
          <w:szCs w:val="20"/>
          <w:lang w:val="en-US"/>
        </w:rPr>
        <w:t xml:space="preserve">This contribution provides </w:t>
      </w:r>
      <w:r w:rsidR="00C879BA" w:rsidRPr="00C879BA">
        <w:rPr>
          <w:color w:val="000000" w:themeColor="text1"/>
          <w:sz w:val="20"/>
          <w:szCs w:val="20"/>
          <w:lang w:val="en-US"/>
        </w:rPr>
        <w:t xml:space="preserve">our view on how to handle the beam management type IBM/CBM in the specification when considering the band frequency groups, </w:t>
      </w:r>
      <w:proofErr w:type="gramStart"/>
      <w:r w:rsidR="00C879BA" w:rsidRPr="00C879BA">
        <w:rPr>
          <w:color w:val="000000" w:themeColor="text1"/>
          <w:sz w:val="20"/>
          <w:szCs w:val="20"/>
          <w:lang w:val="en-US"/>
        </w:rPr>
        <w:t>and also</w:t>
      </w:r>
      <w:proofErr w:type="gramEnd"/>
      <w:r w:rsidR="00C879BA" w:rsidRPr="00C879BA">
        <w:rPr>
          <w:color w:val="000000" w:themeColor="text1"/>
          <w:sz w:val="20"/>
          <w:szCs w:val="20"/>
          <w:lang w:val="en-US"/>
        </w:rPr>
        <w:t xml:space="preserve"> addresses the remaining open issues for EIS relaxation structure and EIS spherical coverage within the same frequency group. I</w:t>
      </w:r>
      <w:proofErr w:type="spellStart"/>
      <w:r w:rsidR="00ED2416" w:rsidRPr="00C879BA">
        <w:rPr>
          <w:sz w:val="20"/>
          <w:szCs w:val="20"/>
          <w:lang w:eastAsia="zh-CN"/>
        </w:rPr>
        <w:t>n</w:t>
      </w:r>
      <w:proofErr w:type="spellEnd"/>
      <w:r w:rsidR="00ED2416" w:rsidRPr="00C879BA">
        <w:rPr>
          <w:sz w:val="20"/>
          <w:szCs w:val="20"/>
          <w:lang w:eastAsia="zh-CN"/>
        </w:rPr>
        <w:t xml:space="preserve"> summary, we have made</w:t>
      </w:r>
      <w:r w:rsidR="00567765" w:rsidRPr="00C879BA">
        <w:rPr>
          <w:sz w:val="20"/>
          <w:szCs w:val="20"/>
          <w:lang w:val="en-US" w:eastAsia="zh-CN"/>
        </w:rPr>
        <w:t xml:space="preserve"> the</w:t>
      </w:r>
      <w:r w:rsidR="00ED2416" w:rsidRPr="00C879BA">
        <w:rPr>
          <w:sz w:val="20"/>
          <w:szCs w:val="20"/>
          <w:lang w:eastAsia="zh-CN"/>
        </w:rPr>
        <w:t xml:space="preserve"> following proposal</w:t>
      </w:r>
      <w:r w:rsidR="007609CD" w:rsidRPr="00C879BA">
        <w:rPr>
          <w:sz w:val="20"/>
          <w:szCs w:val="20"/>
          <w:lang w:eastAsia="zh-CN"/>
        </w:rPr>
        <w:t>s.</w:t>
      </w:r>
    </w:p>
    <w:p w14:paraId="5E1A497C" w14:textId="77777777" w:rsidR="0047407F" w:rsidRDefault="0047407F" w:rsidP="0047407F">
      <w:pPr>
        <w:rPr>
          <w:i/>
          <w:iCs/>
        </w:rPr>
      </w:pPr>
    </w:p>
    <w:p w14:paraId="2221051B" w14:textId="77777777" w:rsidR="007669B2" w:rsidRDefault="007669B2" w:rsidP="007669B2">
      <w:pPr>
        <w:pStyle w:val="Proposal"/>
        <w:rPr>
          <w:color w:val="000000" w:themeColor="text1"/>
          <w:lang w:val="en-US"/>
        </w:rPr>
      </w:pPr>
      <w:r>
        <w:t>Proposal 1:</w:t>
      </w:r>
      <w:r>
        <w:tab/>
      </w:r>
      <w:r>
        <w:tab/>
        <w:t xml:space="preserve">RAN4 shall capture in the specification the </w:t>
      </w:r>
      <w:r>
        <w:rPr>
          <w:color w:val="000000" w:themeColor="text1"/>
          <w:lang w:val="en-US"/>
        </w:rPr>
        <w:t>beam management type assumption per band groups as shown in Table 1.</w:t>
      </w:r>
    </w:p>
    <w:p w14:paraId="453358E5" w14:textId="77777777" w:rsidR="00E45F16" w:rsidRDefault="00E45F16" w:rsidP="00E45F16">
      <w:pPr>
        <w:pStyle w:val="Proposal"/>
      </w:pPr>
      <w:r>
        <w:t>Proposal 2:</w:t>
      </w:r>
      <w:r>
        <w:tab/>
      </w:r>
      <w:r>
        <w:tab/>
      </w:r>
      <w:r>
        <w:rPr>
          <w:color w:val="000000" w:themeColor="text1"/>
          <w:lang w:val="en-US"/>
        </w:rPr>
        <w:t>The same EIS relaxation structure as for intra-band CA should apply to both bands of the band pair within the same frequency group for inter-band CA.</w:t>
      </w:r>
    </w:p>
    <w:p w14:paraId="3611C709" w14:textId="5F40EA75" w:rsidR="007669B2" w:rsidRDefault="007669B2" w:rsidP="007669B2">
      <w:pPr>
        <w:pStyle w:val="Proposal"/>
      </w:pPr>
      <w:r w:rsidRPr="00C879BA">
        <w:t>Proposal 3:</w:t>
      </w:r>
      <w:r w:rsidRPr="00C879BA">
        <w:tab/>
        <w:t>Following the same approach as for intra-band CA, EIS spherical coverage definition for inter-band CA with same frequency group based on CBM should not be defined.</w:t>
      </w:r>
    </w:p>
    <w:p w14:paraId="4E5FC9C0" w14:textId="36618F57" w:rsidR="00F82A53" w:rsidRDefault="00F82A53" w:rsidP="00F82A53">
      <w:pPr>
        <w:pStyle w:val="Heading1"/>
      </w:pPr>
      <w:r>
        <w:lastRenderedPageBreak/>
        <w:t>4</w:t>
      </w:r>
      <w:r>
        <w:tab/>
        <w:t>References</w:t>
      </w:r>
    </w:p>
    <w:p w14:paraId="55D92CB3" w14:textId="692018E9" w:rsidR="00CF7D85" w:rsidRDefault="00CF7D85" w:rsidP="00CF7D85">
      <w:pPr>
        <w:pStyle w:val="EX"/>
      </w:pPr>
      <w:bookmarkStart w:id="1" w:name="_Ref13820109"/>
      <w:bookmarkEnd w:id="0"/>
      <w:r>
        <w:rPr>
          <w:color w:val="000000" w:themeColor="text1"/>
          <w:lang w:val="en-US"/>
        </w:rPr>
        <w:t xml:space="preserve">R4-1907901, </w:t>
      </w:r>
      <w:r w:rsidRPr="00102159">
        <w:rPr>
          <w:lang w:val="en-US"/>
        </w:rPr>
        <w:t xml:space="preserve">3GPP </w:t>
      </w:r>
      <w:r w:rsidRPr="00FA5857">
        <w:rPr>
          <w:lang w:val="en-US"/>
        </w:rPr>
        <w:t>RAN4 #91 Meeting report</w:t>
      </w:r>
    </w:p>
    <w:p w14:paraId="148D1DE0" w14:textId="7A31716C" w:rsidR="00E47EF4" w:rsidRDefault="00E47EF4" w:rsidP="00E47EF4">
      <w:pPr>
        <w:pStyle w:val="EX"/>
      </w:pPr>
      <w:r w:rsidRPr="008F5FF0">
        <w:t>R4-19</w:t>
      </w:r>
      <w:r>
        <w:t>16024,</w:t>
      </w:r>
      <w:r w:rsidRPr="004D3578">
        <w:t xml:space="preserve"> </w:t>
      </w:r>
      <w:r>
        <w:t>“</w:t>
      </w:r>
      <w:r w:rsidRPr="0059483E">
        <w:rPr>
          <w:lang w:val="en-US"/>
        </w:rPr>
        <w:t>WF on FR2 inter-band DL CA</w:t>
      </w:r>
      <w:r>
        <w:rPr>
          <w:lang w:val="en-US"/>
        </w:rPr>
        <w:t xml:space="preserve">”, </w:t>
      </w:r>
      <w:r w:rsidRPr="0059483E">
        <w:rPr>
          <w:lang w:val="en-US"/>
        </w:rPr>
        <w:t>Nokia, Nokia Shanghai Bell</w:t>
      </w:r>
      <w:r>
        <w:rPr>
          <w:lang w:val="en-US"/>
        </w:rPr>
        <w:t>, 3GPP RAN4 #93, November 2019</w:t>
      </w:r>
    </w:p>
    <w:p w14:paraId="408A4BDC" w14:textId="5CEDD321" w:rsidR="00E47EF4" w:rsidRPr="00E47EF4" w:rsidRDefault="00E47EF4" w:rsidP="00E47EF4">
      <w:pPr>
        <w:pStyle w:val="EX"/>
      </w:pPr>
      <w:r>
        <w:rPr>
          <w:color w:val="000000" w:themeColor="text1"/>
          <w:lang w:val="en-US"/>
        </w:rPr>
        <w:t>R4-2014912</w:t>
      </w:r>
      <w:r>
        <w:t>,</w:t>
      </w:r>
      <w:r w:rsidRPr="004D3578">
        <w:t xml:space="preserve"> </w:t>
      </w:r>
      <w:r>
        <w:t>“</w:t>
      </w:r>
      <w:r>
        <w:rPr>
          <w:lang w:val="en-US"/>
        </w:rPr>
        <w:t>More on FR2 inter-band DL CA”, Apple, 3GPP RAN4 #97e, Nov 2020</w:t>
      </w:r>
    </w:p>
    <w:p w14:paraId="2AC98BDB" w14:textId="41A00B01" w:rsidR="00E47EF4" w:rsidRDefault="00E47EF4" w:rsidP="00E47EF4">
      <w:pPr>
        <w:pStyle w:val="EX"/>
      </w:pPr>
      <w:r w:rsidRPr="008F5FF0">
        <w:t>R4-</w:t>
      </w:r>
      <w:r>
        <w:t>2103399,</w:t>
      </w:r>
      <w:r w:rsidRPr="004D3578">
        <w:t xml:space="preserve"> </w:t>
      </w:r>
      <w:r>
        <w:t>“</w:t>
      </w:r>
      <w:r w:rsidRPr="0059483E">
        <w:rPr>
          <w:lang w:val="en-US"/>
        </w:rPr>
        <w:t xml:space="preserve">WF on FR2 </w:t>
      </w:r>
      <w:r>
        <w:rPr>
          <w:lang w:val="en-US"/>
        </w:rPr>
        <w:t>UEs that support inter-band DL CA with CBM”, Samsung, 3GPP RAN4 #98-e, Jan 2021</w:t>
      </w:r>
    </w:p>
    <w:p w14:paraId="20B15D89" w14:textId="747DF978" w:rsidR="00AF7E22" w:rsidRPr="00AF7E22" w:rsidRDefault="00AF7E22" w:rsidP="00AF7E22">
      <w:pPr>
        <w:pStyle w:val="EX"/>
      </w:pPr>
      <w:r w:rsidRPr="008F5FF0">
        <w:t>R4-</w:t>
      </w:r>
      <w:r>
        <w:t>210539</w:t>
      </w:r>
      <w:r w:rsidR="00F943B9">
        <w:t>2</w:t>
      </w:r>
      <w:r>
        <w:t>,</w:t>
      </w:r>
      <w:r w:rsidRPr="004D3578">
        <w:t xml:space="preserve"> </w:t>
      </w:r>
      <w:r>
        <w:t>“</w:t>
      </w:r>
      <w:r w:rsidRPr="0059483E">
        <w:rPr>
          <w:lang w:val="en-US"/>
        </w:rPr>
        <w:t xml:space="preserve">WF </w:t>
      </w:r>
      <w:r w:rsidR="00F943B9">
        <w:rPr>
          <w:lang w:val="en-US"/>
        </w:rPr>
        <w:t>on UE requirements for inter-band CA configurations based on CBM</w:t>
      </w:r>
      <w:r>
        <w:rPr>
          <w:lang w:val="en-US"/>
        </w:rPr>
        <w:t xml:space="preserve">”, </w:t>
      </w:r>
      <w:r w:rsidR="00F943B9">
        <w:rPr>
          <w:lang w:val="en-US"/>
        </w:rPr>
        <w:t>Qualcomm</w:t>
      </w:r>
      <w:r>
        <w:rPr>
          <w:lang w:val="en-US"/>
        </w:rPr>
        <w:t>, 3GPP RAN4 #98bis, April 2021</w:t>
      </w:r>
    </w:p>
    <w:bookmarkEnd w:id="1"/>
    <w:p w14:paraId="24C346DF" w14:textId="15D8A323" w:rsidR="005651A1" w:rsidRPr="007A789C" w:rsidRDefault="005651A1" w:rsidP="005651A1">
      <w:pPr>
        <w:pStyle w:val="EX"/>
      </w:pPr>
      <w:r w:rsidRPr="004D3578">
        <w:t>3GPP T</w:t>
      </w:r>
      <w:r>
        <w:t>S</w:t>
      </w:r>
      <w:r w:rsidRPr="004D3578">
        <w:t> </w:t>
      </w:r>
      <w:r>
        <w:t>38</w:t>
      </w:r>
      <w:r w:rsidRPr="004D3578">
        <w:t>.</w:t>
      </w:r>
      <w:r>
        <w:t>101-2 V17.1.0</w:t>
      </w:r>
    </w:p>
    <w:p w14:paraId="4071FF70" w14:textId="6BB0B5EB" w:rsidR="005651A1" w:rsidRDefault="005651A1" w:rsidP="005651A1">
      <w:pPr>
        <w:pStyle w:val="EX"/>
        <w:numPr>
          <w:ilvl w:val="0"/>
          <w:numId w:val="0"/>
        </w:numPr>
        <w:ind w:left="369"/>
      </w:pPr>
    </w:p>
    <w:p w14:paraId="753FEC6F" w14:textId="77777777" w:rsidR="007D7D4E" w:rsidRPr="007D7D4E" w:rsidRDefault="007D7D4E" w:rsidP="005651A1">
      <w:pPr>
        <w:pStyle w:val="EX"/>
        <w:numPr>
          <w:ilvl w:val="0"/>
          <w:numId w:val="0"/>
        </w:numPr>
        <w:ind w:left="369"/>
        <w:rPr>
          <w:lang w:val="en-DE"/>
        </w:rPr>
      </w:pPr>
    </w:p>
    <w:sectPr w:rsidR="007D7D4E" w:rsidRPr="007D7D4E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6A6308" w14:textId="77777777" w:rsidR="00682D10" w:rsidRDefault="00682D10">
      <w:r>
        <w:separator/>
      </w:r>
    </w:p>
  </w:endnote>
  <w:endnote w:type="continuationSeparator" w:id="0">
    <w:p w14:paraId="56A77CC0" w14:textId="77777777" w:rsidR="00682D10" w:rsidRDefault="00682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77316" w14:textId="227602B4" w:rsidR="00BA26B9" w:rsidRDefault="00BA26B9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448A6" w14:textId="15F358C9" w:rsidR="00BA26B9" w:rsidRDefault="00BA26B9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079B77" w14:textId="77777777" w:rsidR="00682D10" w:rsidRDefault="00682D10">
      <w:r>
        <w:separator/>
      </w:r>
    </w:p>
  </w:footnote>
  <w:footnote w:type="continuationSeparator" w:id="0">
    <w:p w14:paraId="2D6AD2AD" w14:textId="77777777" w:rsidR="00682D10" w:rsidRDefault="00682D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833BB" w14:textId="77777777" w:rsidR="00BA26B9" w:rsidRDefault="00BA26B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BA26B9" w:rsidRDefault="00BA26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315BAC"/>
    <w:multiLevelType w:val="multilevel"/>
    <w:tmpl w:val="1A9AD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14E36E8"/>
    <w:multiLevelType w:val="hybridMultilevel"/>
    <w:tmpl w:val="23F6FD0A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77374F"/>
    <w:multiLevelType w:val="multilevel"/>
    <w:tmpl w:val="3EB889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9611B5"/>
    <w:multiLevelType w:val="hybridMultilevel"/>
    <w:tmpl w:val="06321668"/>
    <w:lvl w:ilvl="0" w:tplc="08090001">
      <w:start w:val="1"/>
      <w:numFmt w:val="bullet"/>
      <w:lvlText w:val=""/>
      <w:lvlJc w:val="left"/>
      <w:pPr>
        <w:ind w:left="20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8" w15:restartNumberingAfterBreak="0">
    <w:nsid w:val="0A144FB0"/>
    <w:multiLevelType w:val="hybridMultilevel"/>
    <w:tmpl w:val="CFD0EE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2B4361"/>
    <w:multiLevelType w:val="multilevel"/>
    <w:tmpl w:val="2190E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C2344B8"/>
    <w:multiLevelType w:val="hybridMultilevel"/>
    <w:tmpl w:val="29DC6600"/>
    <w:lvl w:ilvl="0" w:tplc="517672FA">
      <w:numFmt w:val="bullet"/>
      <w:lvlText w:val="-"/>
      <w:lvlJc w:val="left"/>
      <w:pPr>
        <w:ind w:left="644" w:hanging="360"/>
      </w:pPr>
      <w:rPr>
        <w:rFonts w:ascii="Calibri" w:eastAsia="Malgun Gothic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E021FAF"/>
    <w:multiLevelType w:val="hybridMultilevel"/>
    <w:tmpl w:val="45787A36"/>
    <w:lvl w:ilvl="0" w:tplc="C6B6A8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6AE590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1A2E3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1AE19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9FAE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8B45C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7CE56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7E78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7CB4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10B7659C"/>
    <w:multiLevelType w:val="hybridMultilevel"/>
    <w:tmpl w:val="8D4662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C03D2A"/>
    <w:multiLevelType w:val="hybridMultilevel"/>
    <w:tmpl w:val="0B04D38A"/>
    <w:lvl w:ilvl="0" w:tplc="AC48D42A">
      <w:start w:val="1"/>
      <w:numFmt w:val="bullet"/>
      <w:lvlText w:val="-"/>
      <w:lvlJc w:val="left"/>
      <w:pPr>
        <w:ind w:left="720" w:hanging="360"/>
      </w:pPr>
      <w:rPr>
        <w:rFonts w:ascii="MS PGothic" w:hAnsi="MS PGothi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430FF4"/>
    <w:multiLevelType w:val="hybridMultilevel"/>
    <w:tmpl w:val="65DE693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566E5A"/>
    <w:multiLevelType w:val="hybridMultilevel"/>
    <w:tmpl w:val="4330F006"/>
    <w:lvl w:ilvl="0" w:tplc="44A626AE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1E7935C4"/>
    <w:multiLevelType w:val="hybridMultilevel"/>
    <w:tmpl w:val="9A68F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59336B"/>
    <w:multiLevelType w:val="hybridMultilevel"/>
    <w:tmpl w:val="99BE8FEE"/>
    <w:lvl w:ilvl="0" w:tplc="3F843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F0111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CE24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20F1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1482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4A82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B2BE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3608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D63E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3791C3D"/>
    <w:multiLevelType w:val="hybridMultilevel"/>
    <w:tmpl w:val="F274E862"/>
    <w:lvl w:ilvl="0" w:tplc="761CB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32D87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A82F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44F9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4C41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A29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4AF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28F6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AD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6E42DE4"/>
    <w:multiLevelType w:val="hybridMultilevel"/>
    <w:tmpl w:val="59DE05A8"/>
    <w:lvl w:ilvl="0" w:tplc="353483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64F0E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2026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068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5872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74B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2ACB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B4B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B883038"/>
    <w:multiLevelType w:val="hybridMultilevel"/>
    <w:tmpl w:val="9154BD2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DF97379"/>
    <w:multiLevelType w:val="hybridMultilevel"/>
    <w:tmpl w:val="9438D3F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64F0E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2026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068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5872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74B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2ACB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B4B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ACD18A0"/>
    <w:multiLevelType w:val="hybridMultilevel"/>
    <w:tmpl w:val="DCA2CAD8"/>
    <w:lvl w:ilvl="0" w:tplc="353483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F2980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F0E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2026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068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5872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74B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2ACB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B4B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AF62D8B"/>
    <w:multiLevelType w:val="multilevel"/>
    <w:tmpl w:val="C7FA5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543C74"/>
    <w:multiLevelType w:val="multilevel"/>
    <w:tmpl w:val="F048A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DD31258"/>
    <w:multiLevelType w:val="hybridMultilevel"/>
    <w:tmpl w:val="38B26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843595"/>
    <w:multiLevelType w:val="hybridMultilevel"/>
    <w:tmpl w:val="AFBE9E3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1924C7C"/>
    <w:multiLevelType w:val="hybridMultilevel"/>
    <w:tmpl w:val="7286D9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5542A2"/>
    <w:multiLevelType w:val="hybridMultilevel"/>
    <w:tmpl w:val="E0B2BDDA"/>
    <w:lvl w:ilvl="0" w:tplc="F294D1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2A66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E860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AE98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382F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F8DF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020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5A6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5681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4EA166A"/>
    <w:multiLevelType w:val="hybridMultilevel"/>
    <w:tmpl w:val="0F62994E"/>
    <w:lvl w:ilvl="0" w:tplc="BC1C33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7E5A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3CDF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98A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2CBD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3A09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3E0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DEC7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5EAB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940691A"/>
    <w:multiLevelType w:val="hybridMultilevel"/>
    <w:tmpl w:val="E71EEF44"/>
    <w:lvl w:ilvl="0" w:tplc="3E64D23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AF61E1"/>
    <w:multiLevelType w:val="hybridMultilevel"/>
    <w:tmpl w:val="4D2E4AC6"/>
    <w:lvl w:ilvl="0" w:tplc="2A9ADDD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5CB30BA9"/>
    <w:multiLevelType w:val="hybridMultilevel"/>
    <w:tmpl w:val="0DE67C46"/>
    <w:lvl w:ilvl="0" w:tplc="517672FA"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F5527A"/>
    <w:multiLevelType w:val="hybridMultilevel"/>
    <w:tmpl w:val="26DAD032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917743"/>
    <w:multiLevelType w:val="hybridMultilevel"/>
    <w:tmpl w:val="1FF0C5F4"/>
    <w:lvl w:ilvl="0" w:tplc="517672FA"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23354D"/>
    <w:multiLevelType w:val="hybridMultilevel"/>
    <w:tmpl w:val="FBF46A52"/>
    <w:lvl w:ilvl="0" w:tplc="236C3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D6A7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AE4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AEDC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E689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52F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A8D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D013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9CD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836358A"/>
    <w:multiLevelType w:val="multilevel"/>
    <w:tmpl w:val="4AE23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297883"/>
    <w:multiLevelType w:val="hybridMultilevel"/>
    <w:tmpl w:val="DE4A610A"/>
    <w:lvl w:ilvl="0" w:tplc="8BE0ABFE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79609A"/>
    <w:multiLevelType w:val="hybridMultilevel"/>
    <w:tmpl w:val="70F27F58"/>
    <w:lvl w:ilvl="0" w:tplc="D7FC83C4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E3A5F"/>
    <w:multiLevelType w:val="hybridMultilevel"/>
    <w:tmpl w:val="2238168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B5054B"/>
    <w:multiLevelType w:val="hybridMultilevel"/>
    <w:tmpl w:val="9AC03B30"/>
    <w:lvl w:ilvl="0" w:tplc="517672FA">
      <w:numFmt w:val="bullet"/>
      <w:lvlText w:val="-"/>
      <w:lvlJc w:val="left"/>
      <w:pPr>
        <w:ind w:left="360" w:hanging="360"/>
      </w:pPr>
      <w:rPr>
        <w:rFonts w:ascii="Calibri" w:eastAsia="Malgun Gothic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7F011E8"/>
    <w:multiLevelType w:val="hybridMultilevel"/>
    <w:tmpl w:val="4846F9E2"/>
    <w:lvl w:ilvl="0" w:tplc="517672FA"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5D294B"/>
    <w:multiLevelType w:val="hybridMultilevel"/>
    <w:tmpl w:val="B01815C2"/>
    <w:lvl w:ilvl="0" w:tplc="886048B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9"/>
  </w:num>
  <w:num w:numId="5">
    <w:abstractNumId w:val="6"/>
  </w:num>
  <w:num w:numId="6">
    <w:abstractNumId w:val="6"/>
  </w:num>
  <w:num w:numId="7">
    <w:abstractNumId w:val="25"/>
  </w:num>
  <w:num w:numId="8">
    <w:abstractNumId w:val="11"/>
  </w:num>
  <w:num w:numId="9">
    <w:abstractNumId w:val="27"/>
  </w:num>
  <w:num w:numId="10">
    <w:abstractNumId w:val="5"/>
  </w:num>
  <w:num w:numId="11">
    <w:abstractNumId w:val="33"/>
  </w:num>
  <w:num w:numId="12">
    <w:abstractNumId w:val="3"/>
  </w:num>
  <w:num w:numId="13">
    <w:abstractNumId w:val="28"/>
  </w:num>
  <w:num w:numId="14">
    <w:abstractNumId w:val="16"/>
  </w:num>
  <w:num w:numId="15">
    <w:abstractNumId w:val="12"/>
  </w:num>
  <w:num w:numId="16">
    <w:abstractNumId w:val="45"/>
  </w:num>
  <w:num w:numId="17">
    <w:abstractNumId w:val="43"/>
  </w:num>
  <w:num w:numId="18">
    <w:abstractNumId w:val="44"/>
  </w:num>
  <w:num w:numId="19">
    <w:abstractNumId w:val="10"/>
  </w:num>
  <w:num w:numId="20">
    <w:abstractNumId w:val="36"/>
  </w:num>
  <w:num w:numId="21">
    <w:abstractNumId w:val="34"/>
  </w:num>
  <w:num w:numId="22">
    <w:abstractNumId w:val="8"/>
  </w:num>
  <w:num w:numId="23">
    <w:abstractNumId w:val="30"/>
  </w:num>
  <w:num w:numId="24">
    <w:abstractNumId w:val="17"/>
  </w:num>
  <w:num w:numId="25">
    <w:abstractNumId w:val="37"/>
  </w:num>
  <w:num w:numId="26">
    <w:abstractNumId w:val="23"/>
  </w:num>
  <w:num w:numId="27">
    <w:abstractNumId w:val="20"/>
  </w:num>
  <w:num w:numId="28">
    <w:abstractNumId w:val="22"/>
  </w:num>
  <w:num w:numId="29">
    <w:abstractNumId w:val="1"/>
  </w:num>
  <w:num w:numId="30">
    <w:abstractNumId w:val="21"/>
  </w:num>
  <w:num w:numId="31">
    <w:abstractNumId w:val="19"/>
  </w:num>
  <w:num w:numId="32">
    <w:abstractNumId w:val="32"/>
  </w:num>
  <w:num w:numId="33">
    <w:abstractNumId w:val="14"/>
  </w:num>
  <w:num w:numId="34">
    <w:abstractNumId w:val="38"/>
  </w:num>
  <w:num w:numId="35">
    <w:abstractNumId w:val="15"/>
  </w:num>
  <w:num w:numId="36">
    <w:abstractNumId w:val="18"/>
  </w:num>
  <w:num w:numId="37">
    <w:abstractNumId w:val="29"/>
  </w:num>
  <w:num w:numId="38">
    <w:abstractNumId w:val="35"/>
  </w:num>
  <w:num w:numId="39">
    <w:abstractNumId w:val="13"/>
  </w:num>
  <w:num w:numId="40">
    <w:abstractNumId w:val="40"/>
  </w:num>
  <w:num w:numId="41">
    <w:abstractNumId w:val="41"/>
  </w:num>
  <w:num w:numId="42">
    <w:abstractNumId w:val="7"/>
  </w:num>
  <w:num w:numId="43">
    <w:abstractNumId w:val="31"/>
  </w:num>
  <w:num w:numId="44">
    <w:abstractNumId w:val="9"/>
  </w:num>
  <w:num w:numId="45">
    <w:abstractNumId w:val="2"/>
  </w:num>
  <w:num w:numId="46">
    <w:abstractNumId w:val="24"/>
  </w:num>
  <w:num w:numId="47">
    <w:abstractNumId w:val="26"/>
  </w:num>
  <w:num w:numId="48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744"/>
    <w:rsid w:val="00012AB5"/>
    <w:rsid w:val="00014382"/>
    <w:rsid w:val="000253BC"/>
    <w:rsid w:val="00027C9D"/>
    <w:rsid w:val="00033397"/>
    <w:rsid w:val="000348CF"/>
    <w:rsid w:val="00036D1D"/>
    <w:rsid w:val="00040095"/>
    <w:rsid w:val="00051834"/>
    <w:rsid w:val="0005379C"/>
    <w:rsid w:val="00054A22"/>
    <w:rsid w:val="00062023"/>
    <w:rsid w:val="00063D41"/>
    <w:rsid w:val="000655A6"/>
    <w:rsid w:val="00080512"/>
    <w:rsid w:val="0008525B"/>
    <w:rsid w:val="000A365D"/>
    <w:rsid w:val="000A4128"/>
    <w:rsid w:val="000A6409"/>
    <w:rsid w:val="000A68F3"/>
    <w:rsid w:val="000B49E9"/>
    <w:rsid w:val="000C04F5"/>
    <w:rsid w:val="000C0618"/>
    <w:rsid w:val="000C47C3"/>
    <w:rsid w:val="000C5E21"/>
    <w:rsid w:val="000D18B7"/>
    <w:rsid w:val="000D3845"/>
    <w:rsid w:val="000D58AB"/>
    <w:rsid w:val="000D734B"/>
    <w:rsid w:val="000F3A6A"/>
    <w:rsid w:val="0010065C"/>
    <w:rsid w:val="00104BC6"/>
    <w:rsid w:val="00107D41"/>
    <w:rsid w:val="00111D8A"/>
    <w:rsid w:val="00114300"/>
    <w:rsid w:val="00114C7B"/>
    <w:rsid w:val="00114C9B"/>
    <w:rsid w:val="00114E2C"/>
    <w:rsid w:val="00116A77"/>
    <w:rsid w:val="00127DAC"/>
    <w:rsid w:val="00133525"/>
    <w:rsid w:val="0016659F"/>
    <w:rsid w:val="00173D3F"/>
    <w:rsid w:val="0018461A"/>
    <w:rsid w:val="00187FC3"/>
    <w:rsid w:val="001974A5"/>
    <w:rsid w:val="001A233A"/>
    <w:rsid w:val="001A4C42"/>
    <w:rsid w:val="001A5C3B"/>
    <w:rsid w:val="001B5E74"/>
    <w:rsid w:val="001B6CD0"/>
    <w:rsid w:val="001C21C3"/>
    <w:rsid w:val="001D02C2"/>
    <w:rsid w:val="001D491A"/>
    <w:rsid w:val="001E644D"/>
    <w:rsid w:val="001F09E2"/>
    <w:rsid w:val="001F0C1D"/>
    <w:rsid w:val="001F1132"/>
    <w:rsid w:val="001F168B"/>
    <w:rsid w:val="001F3BF1"/>
    <w:rsid w:val="00204102"/>
    <w:rsid w:val="0021021F"/>
    <w:rsid w:val="0022017B"/>
    <w:rsid w:val="0022228A"/>
    <w:rsid w:val="0022656C"/>
    <w:rsid w:val="002347A2"/>
    <w:rsid w:val="002409A7"/>
    <w:rsid w:val="00247926"/>
    <w:rsid w:val="00253722"/>
    <w:rsid w:val="00264C5D"/>
    <w:rsid w:val="002675F0"/>
    <w:rsid w:val="00276EE4"/>
    <w:rsid w:val="0029139E"/>
    <w:rsid w:val="002A4AB3"/>
    <w:rsid w:val="002B6339"/>
    <w:rsid w:val="002B7E71"/>
    <w:rsid w:val="002C37CE"/>
    <w:rsid w:val="002C6647"/>
    <w:rsid w:val="002C75A1"/>
    <w:rsid w:val="002E00EE"/>
    <w:rsid w:val="002E2F47"/>
    <w:rsid w:val="002E5BCE"/>
    <w:rsid w:val="002E61E0"/>
    <w:rsid w:val="002F580D"/>
    <w:rsid w:val="002F7DF0"/>
    <w:rsid w:val="003068EC"/>
    <w:rsid w:val="003172DC"/>
    <w:rsid w:val="00320AAA"/>
    <w:rsid w:val="00320B6A"/>
    <w:rsid w:val="0032493C"/>
    <w:rsid w:val="003316A1"/>
    <w:rsid w:val="00332127"/>
    <w:rsid w:val="0034052F"/>
    <w:rsid w:val="00342646"/>
    <w:rsid w:val="003433B1"/>
    <w:rsid w:val="00345BD4"/>
    <w:rsid w:val="00345E06"/>
    <w:rsid w:val="00346459"/>
    <w:rsid w:val="0035462D"/>
    <w:rsid w:val="003677AD"/>
    <w:rsid w:val="003712C6"/>
    <w:rsid w:val="003765B8"/>
    <w:rsid w:val="003A0483"/>
    <w:rsid w:val="003C0DD3"/>
    <w:rsid w:val="003C3971"/>
    <w:rsid w:val="003D1054"/>
    <w:rsid w:val="003D6DFD"/>
    <w:rsid w:val="003E4E30"/>
    <w:rsid w:val="003E7753"/>
    <w:rsid w:val="003F0D33"/>
    <w:rsid w:val="00412C9B"/>
    <w:rsid w:val="00414365"/>
    <w:rsid w:val="00414EBA"/>
    <w:rsid w:val="00420D51"/>
    <w:rsid w:val="00423334"/>
    <w:rsid w:val="00430986"/>
    <w:rsid w:val="004345EC"/>
    <w:rsid w:val="00440A25"/>
    <w:rsid w:val="00444777"/>
    <w:rsid w:val="00447788"/>
    <w:rsid w:val="004607F2"/>
    <w:rsid w:val="0046530C"/>
    <w:rsid w:val="004679D1"/>
    <w:rsid w:val="00473181"/>
    <w:rsid w:val="0047407F"/>
    <w:rsid w:val="00481321"/>
    <w:rsid w:val="004826A9"/>
    <w:rsid w:val="00482C77"/>
    <w:rsid w:val="004861DC"/>
    <w:rsid w:val="00494445"/>
    <w:rsid w:val="00496946"/>
    <w:rsid w:val="004A636C"/>
    <w:rsid w:val="004C1601"/>
    <w:rsid w:val="004D3578"/>
    <w:rsid w:val="004E213A"/>
    <w:rsid w:val="004F0988"/>
    <w:rsid w:val="004F0A51"/>
    <w:rsid w:val="004F3340"/>
    <w:rsid w:val="004F3E3D"/>
    <w:rsid w:val="005036A1"/>
    <w:rsid w:val="0050663D"/>
    <w:rsid w:val="005120B8"/>
    <w:rsid w:val="005138F5"/>
    <w:rsid w:val="00530AAB"/>
    <w:rsid w:val="0053388B"/>
    <w:rsid w:val="00535015"/>
    <w:rsid w:val="00535773"/>
    <w:rsid w:val="00543E6C"/>
    <w:rsid w:val="00550502"/>
    <w:rsid w:val="005509FF"/>
    <w:rsid w:val="00562942"/>
    <w:rsid w:val="00562978"/>
    <w:rsid w:val="00562E96"/>
    <w:rsid w:val="0056336D"/>
    <w:rsid w:val="00565087"/>
    <w:rsid w:val="005651A1"/>
    <w:rsid w:val="00566A63"/>
    <w:rsid w:val="00567765"/>
    <w:rsid w:val="00572E14"/>
    <w:rsid w:val="00586701"/>
    <w:rsid w:val="00587171"/>
    <w:rsid w:val="0059156D"/>
    <w:rsid w:val="005921F8"/>
    <w:rsid w:val="00593C3C"/>
    <w:rsid w:val="00594F57"/>
    <w:rsid w:val="005973BE"/>
    <w:rsid w:val="005976D1"/>
    <w:rsid w:val="005A3127"/>
    <w:rsid w:val="005A5986"/>
    <w:rsid w:val="005B3D13"/>
    <w:rsid w:val="005C7DF2"/>
    <w:rsid w:val="005D2E01"/>
    <w:rsid w:val="005D7526"/>
    <w:rsid w:val="005E0DC0"/>
    <w:rsid w:val="005E64E4"/>
    <w:rsid w:val="005E69AE"/>
    <w:rsid w:val="005E6E2B"/>
    <w:rsid w:val="006011A1"/>
    <w:rsid w:val="00602AEA"/>
    <w:rsid w:val="00603354"/>
    <w:rsid w:val="006073EA"/>
    <w:rsid w:val="00607721"/>
    <w:rsid w:val="00607E3C"/>
    <w:rsid w:val="0061002A"/>
    <w:rsid w:val="006110E3"/>
    <w:rsid w:val="0061184C"/>
    <w:rsid w:val="00614FDF"/>
    <w:rsid w:val="00615C16"/>
    <w:rsid w:val="0061775C"/>
    <w:rsid w:val="00617935"/>
    <w:rsid w:val="006246A7"/>
    <w:rsid w:val="0062595A"/>
    <w:rsid w:val="0063543D"/>
    <w:rsid w:val="00636000"/>
    <w:rsid w:val="00640909"/>
    <w:rsid w:val="00640A0F"/>
    <w:rsid w:val="00641AE8"/>
    <w:rsid w:val="00647114"/>
    <w:rsid w:val="006527A4"/>
    <w:rsid w:val="00672845"/>
    <w:rsid w:val="0067691D"/>
    <w:rsid w:val="00682D10"/>
    <w:rsid w:val="0069083A"/>
    <w:rsid w:val="006913B3"/>
    <w:rsid w:val="00695D25"/>
    <w:rsid w:val="006A323F"/>
    <w:rsid w:val="006A72DB"/>
    <w:rsid w:val="006B30D0"/>
    <w:rsid w:val="006C1ECB"/>
    <w:rsid w:val="006C3D95"/>
    <w:rsid w:val="006C6705"/>
    <w:rsid w:val="006D38D0"/>
    <w:rsid w:val="006E25D1"/>
    <w:rsid w:val="006E3646"/>
    <w:rsid w:val="006E5C86"/>
    <w:rsid w:val="006F45F5"/>
    <w:rsid w:val="00713C44"/>
    <w:rsid w:val="00725398"/>
    <w:rsid w:val="00732C5F"/>
    <w:rsid w:val="00734A5B"/>
    <w:rsid w:val="00737475"/>
    <w:rsid w:val="0074026F"/>
    <w:rsid w:val="007429F6"/>
    <w:rsid w:val="00744E76"/>
    <w:rsid w:val="007457E2"/>
    <w:rsid w:val="00750225"/>
    <w:rsid w:val="00752198"/>
    <w:rsid w:val="00753881"/>
    <w:rsid w:val="00757624"/>
    <w:rsid w:val="007609CD"/>
    <w:rsid w:val="00762677"/>
    <w:rsid w:val="007669B2"/>
    <w:rsid w:val="00774DA4"/>
    <w:rsid w:val="00777353"/>
    <w:rsid w:val="00781F0F"/>
    <w:rsid w:val="00783690"/>
    <w:rsid w:val="00785C76"/>
    <w:rsid w:val="00794ABC"/>
    <w:rsid w:val="00795C9D"/>
    <w:rsid w:val="007A789C"/>
    <w:rsid w:val="007B600E"/>
    <w:rsid w:val="007C62F4"/>
    <w:rsid w:val="007D02F7"/>
    <w:rsid w:val="007D7D4E"/>
    <w:rsid w:val="007F0F4A"/>
    <w:rsid w:val="007F3BEB"/>
    <w:rsid w:val="007F4CF9"/>
    <w:rsid w:val="007F6F86"/>
    <w:rsid w:val="00800AA4"/>
    <w:rsid w:val="008028A4"/>
    <w:rsid w:val="00806234"/>
    <w:rsid w:val="00811331"/>
    <w:rsid w:val="00815060"/>
    <w:rsid w:val="00817616"/>
    <w:rsid w:val="00820B25"/>
    <w:rsid w:val="00827285"/>
    <w:rsid w:val="00830747"/>
    <w:rsid w:val="008317A8"/>
    <w:rsid w:val="00831C78"/>
    <w:rsid w:val="00836B1E"/>
    <w:rsid w:val="00847B1B"/>
    <w:rsid w:val="00867158"/>
    <w:rsid w:val="00872016"/>
    <w:rsid w:val="008768CA"/>
    <w:rsid w:val="00884741"/>
    <w:rsid w:val="00884D62"/>
    <w:rsid w:val="0089633C"/>
    <w:rsid w:val="008A5270"/>
    <w:rsid w:val="008B6C87"/>
    <w:rsid w:val="008B709D"/>
    <w:rsid w:val="008C384C"/>
    <w:rsid w:val="008C494B"/>
    <w:rsid w:val="008D543A"/>
    <w:rsid w:val="008D7587"/>
    <w:rsid w:val="008D7FE6"/>
    <w:rsid w:val="008E78E9"/>
    <w:rsid w:val="008E7986"/>
    <w:rsid w:val="008F464F"/>
    <w:rsid w:val="008F5FF0"/>
    <w:rsid w:val="0090271F"/>
    <w:rsid w:val="00902E23"/>
    <w:rsid w:val="00910537"/>
    <w:rsid w:val="009114D7"/>
    <w:rsid w:val="0091348E"/>
    <w:rsid w:val="00916BDD"/>
    <w:rsid w:val="00917CCB"/>
    <w:rsid w:val="00927D88"/>
    <w:rsid w:val="00931077"/>
    <w:rsid w:val="00942EC2"/>
    <w:rsid w:val="00950109"/>
    <w:rsid w:val="00961FAE"/>
    <w:rsid w:val="00970ECC"/>
    <w:rsid w:val="00972574"/>
    <w:rsid w:val="009A25E9"/>
    <w:rsid w:val="009C1F6B"/>
    <w:rsid w:val="009C3E7B"/>
    <w:rsid w:val="009D5A49"/>
    <w:rsid w:val="009D74AF"/>
    <w:rsid w:val="009E4D0C"/>
    <w:rsid w:val="009E7988"/>
    <w:rsid w:val="009E7FCF"/>
    <w:rsid w:val="009F37B7"/>
    <w:rsid w:val="009F48B3"/>
    <w:rsid w:val="009F57EC"/>
    <w:rsid w:val="009F5E43"/>
    <w:rsid w:val="009F649B"/>
    <w:rsid w:val="009F75C7"/>
    <w:rsid w:val="00A00485"/>
    <w:rsid w:val="00A05F56"/>
    <w:rsid w:val="00A10F02"/>
    <w:rsid w:val="00A120BF"/>
    <w:rsid w:val="00A14BFA"/>
    <w:rsid w:val="00A164B4"/>
    <w:rsid w:val="00A26956"/>
    <w:rsid w:val="00A4149B"/>
    <w:rsid w:val="00A41A8C"/>
    <w:rsid w:val="00A43D95"/>
    <w:rsid w:val="00A53724"/>
    <w:rsid w:val="00A61916"/>
    <w:rsid w:val="00A622AB"/>
    <w:rsid w:val="00A67861"/>
    <w:rsid w:val="00A711FD"/>
    <w:rsid w:val="00A73129"/>
    <w:rsid w:val="00A74853"/>
    <w:rsid w:val="00A82346"/>
    <w:rsid w:val="00A92BA1"/>
    <w:rsid w:val="00AA37B0"/>
    <w:rsid w:val="00AA437A"/>
    <w:rsid w:val="00AB2E64"/>
    <w:rsid w:val="00AB31F5"/>
    <w:rsid w:val="00AB45F2"/>
    <w:rsid w:val="00AB67B9"/>
    <w:rsid w:val="00AC461E"/>
    <w:rsid w:val="00AC6BC6"/>
    <w:rsid w:val="00AE3797"/>
    <w:rsid w:val="00AF2162"/>
    <w:rsid w:val="00AF35C3"/>
    <w:rsid w:val="00AF66E8"/>
    <w:rsid w:val="00AF7E22"/>
    <w:rsid w:val="00B07FFE"/>
    <w:rsid w:val="00B15449"/>
    <w:rsid w:val="00B20A4E"/>
    <w:rsid w:val="00B24689"/>
    <w:rsid w:val="00B272BA"/>
    <w:rsid w:val="00B27EF1"/>
    <w:rsid w:val="00B35399"/>
    <w:rsid w:val="00B40992"/>
    <w:rsid w:val="00B53E41"/>
    <w:rsid w:val="00B81ACB"/>
    <w:rsid w:val="00B81B92"/>
    <w:rsid w:val="00B85465"/>
    <w:rsid w:val="00B91498"/>
    <w:rsid w:val="00B9224F"/>
    <w:rsid w:val="00B93086"/>
    <w:rsid w:val="00BA19ED"/>
    <w:rsid w:val="00BA26B9"/>
    <w:rsid w:val="00BA2787"/>
    <w:rsid w:val="00BA2AB7"/>
    <w:rsid w:val="00BA300B"/>
    <w:rsid w:val="00BA4B8D"/>
    <w:rsid w:val="00BB1ED8"/>
    <w:rsid w:val="00BB2E58"/>
    <w:rsid w:val="00BC0F7D"/>
    <w:rsid w:val="00BC288B"/>
    <w:rsid w:val="00BC4873"/>
    <w:rsid w:val="00BD1C05"/>
    <w:rsid w:val="00BD224C"/>
    <w:rsid w:val="00BE3255"/>
    <w:rsid w:val="00BF128E"/>
    <w:rsid w:val="00BF2874"/>
    <w:rsid w:val="00C0326F"/>
    <w:rsid w:val="00C12B51"/>
    <w:rsid w:val="00C1496A"/>
    <w:rsid w:val="00C24A70"/>
    <w:rsid w:val="00C33079"/>
    <w:rsid w:val="00C36DEE"/>
    <w:rsid w:val="00C4509D"/>
    <w:rsid w:val="00C45231"/>
    <w:rsid w:val="00C46880"/>
    <w:rsid w:val="00C522C9"/>
    <w:rsid w:val="00C5491A"/>
    <w:rsid w:val="00C6251E"/>
    <w:rsid w:val="00C7031C"/>
    <w:rsid w:val="00C72833"/>
    <w:rsid w:val="00C737BF"/>
    <w:rsid w:val="00C76898"/>
    <w:rsid w:val="00C80F1D"/>
    <w:rsid w:val="00C827F9"/>
    <w:rsid w:val="00C879BA"/>
    <w:rsid w:val="00C900B8"/>
    <w:rsid w:val="00C93F40"/>
    <w:rsid w:val="00CA062F"/>
    <w:rsid w:val="00CA3D0C"/>
    <w:rsid w:val="00CA4C48"/>
    <w:rsid w:val="00CB6512"/>
    <w:rsid w:val="00CB756D"/>
    <w:rsid w:val="00CC1807"/>
    <w:rsid w:val="00CC78AB"/>
    <w:rsid w:val="00CD1256"/>
    <w:rsid w:val="00CD25CF"/>
    <w:rsid w:val="00CE46CD"/>
    <w:rsid w:val="00CE59F7"/>
    <w:rsid w:val="00CF20E3"/>
    <w:rsid w:val="00CF7D85"/>
    <w:rsid w:val="00D1282A"/>
    <w:rsid w:val="00D26890"/>
    <w:rsid w:val="00D26CBB"/>
    <w:rsid w:val="00D309CC"/>
    <w:rsid w:val="00D4439B"/>
    <w:rsid w:val="00D46431"/>
    <w:rsid w:val="00D4726A"/>
    <w:rsid w:val="00D55A42"/>
    <w:rsid w:val="00D56A52"/>
    <w:rsid w:val="00D57972"/>
    <w:rsid w:val="00D60EA5"/>
    <w:rsid w:val="00D63693"/>
    <w:rsid w:val="00D675A9"/>
    <w:rsid w:val="00D738D6"/>
    <w:rsid w:val="00D755EB"/>
    <w:rsid w:val="00D81258"/>
    <w:rsid w:val="00D83EFF"/>
    <w:rsid w:val="00D8488F"/>
    <w:rsid w:val="00D85B41"/>
    <w:rsid w:val="00D870CA"/>
    <w:rsid w:val="00D87772"/>
    <w:rsid w:val="00D87E00"/>
    <w:rsid w:val="00D9134D"/>
    <w:rsid w:val="00D96372"/>
    <w:rsid w:val="00DA7A03"/>
    <w:rsid w:val="00DB1818"/>
    <w:rsid w:val="00DB70E5"/>
    <w:rsid w:val="00DC309B"/>
    <w:rsid w:val="00DC4DA2"/>
    <w:rsid w:val="00DC555E"/>
    <w:rsid w:val="00DC5EFC"/>
    <w:rsid w:val="00DD46E4"/>
    <w:rsid w:val="00DD4C17"/>
    <w:rsid w:val="00DE0886"/>
    <w:rsid w:val="00DF2B1F"/>
    <w:rsid w:val="00DF6189"/>
    <w:rsid w:val="00DF62CD"/>
    <w:rsid w:val="00DF754D"/>
    <w:rsid w:val="00E03AF5"/>
    <w:rsid w:val="00E03E1A"/>
    <w:rsid w:val="00E164BB"/>
    <w:rsid w:val="00E16509"/>
    <w:rsid w:val="00E30003"/>
    <w:rsid w:val="00E44582"/>
    <w:rsid w:val="00E45F16"/>
    <w:rsid w:val="00E476BE"/>
    <w:rsid w:val="00E47EF4"/>
    <w:rsid w:val="00E52814"/>
    <w:rsid w:val="00E52BB4"/>
    <w:rsid w:val="00E6650A"/>
    <w:rsid w:val="00E72324"/>
    <w:rsid w:val="00E72ABE"/>
    <w:rsid w:val="00E732A1"/>
    <w:rsid w:val="00E75F32"/>
    <w:rsid w:val="00E77645"/>
    <w:rsid w:val="00E97976"/>
    <w:rsid w:val="00EA24F9"/>
    <w:rsid w:val="00EA4051"/>
    <w:rsid w:val="00EA5922"/>
    <w:rsid w:val="00EB13A6"/>
    <w:rsid w:val="00EB2B6D"/>
    <w:rsid w:val="00EB7D89"/>
    <w:rsid w:val="00EC3D07"/>
    <w:rsid w:val="00EC4847"/>
    <w:rsid w:val="00EC4A25"/>
    <w:rsid w:val="00ED2416"/>
    <w:rsid w:val="00EE122C"/>
    <w:rsid w:val="00EE424A"/>
    <w:rsid w:val="00EE5AA7"/>
    <w:rsid w:val="00EF6E7F"/>
    <w:rsid w:val="00F025A2"/>
    <w:rsid w:val="00F04712"/>
    <w:rsid w:val="00F07431"/>
    <w:rsid w:val="00F21311"/>
    <w:rsid w:val="00F22134"/>
    <w:rsid w:val="00F22EC7"/>
    <w:rsid w:val="00F24DE9"/>
    <w:rsid w:val="00F276D7"/>
    <w:rsid w:val="00F325C8"/>
    <w:rsid w:val="00F329C7"/>
    <w:rsid w:val="00F37186"/>
    <w:rsid w:val="00F473C8"/>
    <w:rsid w:val="00F51395"/>
    <w:rsid w:val="00F561BA"/>
    <w:rsid w:val="00F62AEB"/>
    <w:rsid w:val="00F638FE"/>
    <w:rsid w:val="00F653B8"/>
    <w:rsid w:val="00F70647"/>
    <w:rsid w:val="00F723B0"/>
    <w:rsid w:val="00F72CCC"/>
    <w:rsid w:val="00F82A53"/>
    <w:rsid w:val="00F8301F"/>
    <w:rsid w:val="00F8368D"/>
    <w:rsid w:val="00F94056"/>
    <w:rsid w:val="00F943B9"/>
    <w:rsid w:val="00F95376"/>
    <w:rsid w:val="00FA1266"/>
    <w:rsid w:val="00FA1B8C"/>
    <w:rsid w:val="00FA4489"/>
    <w:rsid w:val="00FA5857"/>
    <w:rsid w:val="00FA7167"/>
    <w:rsid w:val="00FB1653"/>
    <w:rsid w:val="00FC1192"/>
    <w:rsid w:val="00FC2E7D"/>
    <w:rsid w:val="00FC35E0"/>
    <w:rsid w:val="00FD2464"/>
    <w:rsid w:val="00FE3F9D"/>
    <w:rsid w:val="00FF303D"/>
    <w:rsid w:val="00FF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4445"/>
    <w:rPr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eastAsia="en-US"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sz w:val="20"/>
      <w:szCs w:val="20"/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szCs w:val="20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  <w:spacing w:after="180"/>
    </w:pPr>
    <w:rPr>
      <w:sz w:val="20"/>
      <w:szCs w:val="20"/>
      <w:lang w:eastAsia="en-US"/>
    </w:rPr>
  </w:style>
  <w:style w:type="paragraph" w:customStyle="1" w:styleId="FP">
    <w:name w:val="FP"/>
    <w:basedOn w:val="Normal"/>
    <w:rPr>
      <w:sz w:val="20"/>
      <w:szCs w:val="20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spacing w:after="180"/>
      <w:ind w:left="568" w:hanging="284"/>
    </w:pPr>
    <w:rPr>
      <w:sz w:val="20"/>
      <w:szCs w:val="20"/>
      <w:lang w:eastAsia="en-US"/>
    </w:r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spacing w:after="180"/>
      <w:ind w:left="851" w:hanging="284"/>
    </w:pPr>
    <w:rPr>
      <w:sz w:val="20"/>
      <w:szCs w:val="20"/>
      <w:lang w:eastAsia="en-US"/>
    </w:rPr>
  </w:style>
  <w:style w:type="paragraph" w:customStyle="1" w:styleId="B3">
    <w:name w:val="B3"/>
    <w:basedOn w:val="Normal"/>
    <w:pPr>
      <w:spacing w:after="180"/>
      <w:ind w:left="1135" w:hanging="284"/>
    </w:pPr>
    <w:rPr>
      <w:sz w:val="20"/>
      <w:szCs w:val="20"/>
      <w:lang w:eastAsia="en-US"/>
    </w:rPr>
  </w:style>
  <w:style w:type="paragraph" w:customStyle="1" w:styleId="B4">
    <w:name w:val="B4"/>
    <w:basedOn w:val="Normal"/>
    <w:pPr>
      <w:spacing w:after="180"/>
      <w:ind w:left="1418" w:hanging="284"/>
    </w:pPr>
    <w:rPr>
      <w:sz w:val="20"/>
      <w:szCs w:val="20"/>
      <w:lang w:eastAsia="en-US"/>
    </w:rPr>
  </w:style>
  <w:style w:type="paragraph" w:customStyle="1" w:styleId="B5">
    <w:name w:val="B5"/>
    <w:basedOn w:val="Normal"/>
    <w:pPr>
      <w:spacing w:after="180"/>
      <w:ind w:left="1702" w:hanging="284"/>
    </w:pPr>
    <w:rPr>
      <w:sz w:val="20"/>
      <w:szCs w:val="20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  <w:lang w:eastAsia="en-US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Cs w:val="20"/>
      <w:lang w:eastAsia="en-US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spacing w:after="180"/>
      <w:ind w:left="1701" w:hanging="1701"/>
    </w:pPr>
    <w:rPr>
      <w:i/>
      <w:sz w:val="20"/>
      <w:szCs w:val="20"/>
      <w:lang w:eastAsia="en-US"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spacing w:after="180"/>
      <w:ind w:left="1701" w:hanging="1701"/>
    </w:pPr>
    <w:rPr>
      <w:b/>
      <w:sz w:val="20"/>
      <w:szCs w:val="20"/>
      <w:lang w:eastAsia="en-US"/>
    </w:rPr>
  </w:style>
  <w:style w:type="paragraph" w:styleId="ListParagraph">
    <w:name w:val="List Paragraph"/>
    <w:aliases w:val="- Bullets,목록 단락,列出段落,?? ??,?????,????,リスト段落,Lista1,列出段落1,中等深浅网格 1 - 着色 21,列表段落"/>
    <w:basedOn w:val="Normal"/>
    <w:link w:val="ListParagraphChar"/>
    <w:uiPriority w:val="34"/>
    <w:qFormat/>
    <w:rsid w:val="003C0DD3"/>
    <w:pPr>
      <w:ind w:left="720"/>
    </w:pPr>
    <w:rPr>
      <w:sz w:val="20"/>
      <w:szCs w:val="20"/>
      <w:lang w:val="en-US" w:eastAsia="en-US"/>
    </w:rPr>
  </w:style>
  <w:style w:type="paragraph" w:styleId="NormalWeb">
    <w:name w:val="Normal (Web)"/>
    <w:basedOn w:val="Normal"/>
    <w:uiPriority w:val="99"/>
    <w:unhideWhenUsed/>
    <w:rsid w:val="003C0DD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E30003"/>
  </w:style>
  <w:style w:type="paragraph" w:customStyle="1" w:styleId="indent">
    <w:name w:val="indent"/>
    <w:basedOn w:val="Normal"/>
    <w:rsid w:val="00E30003"/>
    <w:pPr>
      <w:spacing w:before="100" w:beforeAutospacing="1" w:after="100" w:afterAutospacing="1"/>
    </w:pPr>
  </w:style>
  <w:style w:type="paragraph" w:customStyle="1" w:styleId="indenthangingb">
    <w:name w:val="indenthangingb"/>
    <w:basedOn w:val="Normal"/>
    <w:rsid w:val="00E30003"/>
    <w:pPr>
      <w:spacing w:before="100" w:beforeAutospacing="1" w:after="100" w:afterAutospacing="1"/>
    </w:pPr>
  </w:style>
  <w:style w:type="paragraph" w:customStyle="1" w:styleId="noindent">
    <w:name w:val="noindent"/>
    <w:basedOn w:val="Normal"/>
    <w:rsid w:val="00E30003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E30003"/>
    <w:rPr>
      <w:i/>
      <w:iCs/>
    </w:rPr>
  </w:style>
  <w:style w:type="character" w:customStyle="1" w:styleId="ListParagraphChar">
    <w:name w:val="List Paragraph Char"/>
    <w:aliases w:val="- Bullets Char,목록 단락 Char,列出段落 Char,?? ?? Char,????? Char,???? Char,リスト段落 Char,Lista1 Char,列出段落1 Char,中等深浅网格 1 - 着色 21 Char,列表段落 Char"/>
    <w:link w:val="ListParagraph"/>
    <w:uiPriority w:val="34"/>
    <w:qFormat/>
    <w:locked/>
    <w:rsid w:val="008F5FF0"/>
    <w:rPr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867158"/>
    <w:rPr>
      <w:rFonts w:ascii="Arial" w:hAnsi="Arial"/>
      <w:sz w:val="32"/>
      <w:lang w:eastAsia="en-US"/>
    </w:rPr>
  </w:style>
  <w:style w:type="paragraph" w:styleId="Caption">
    <w:name w:val="caption"/>
    <w:basedOn w:val="Normal"/>
    <w:next w:val="Normal"/>
    <w:unhideWhenUsed/>
    <w:qFormat/>
    <w:rsid w:val="00D4726A"/>
    <w:pPr>
      <w:spacing w:after="200"/>
    </w:pPr>
    <w:rPr>
      <w:i/>
      <w:iCs/>
      <w:color w:val="44546A" w:themeColor="text2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8317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317A8"/>
    <w:pPr>
      <w:spacing w:after="180"/>
    </w:pPr>
    <w:rPr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8317A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317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317A8"/>
    <w:rPr>
      <w:b/>
      <w:bCs/>
      <w:lang w:eastAsia="en-US"/>
    </w:rPr>
  </w:style>
  <w:style w:type="character" w:customStyle="1" w:styleId="apple-tab-span">
    <w:name w:val="apple-tab-span"/>
    <w:basedOn w:val="DefaultParagraphFont"/>
    <w:rsid w:val="00806234"/>
  </w:style>
  <w:style w:type="character" w:customStyle="1" w:styleId="TACChar">
    <w:name w:val="TAC Char"/>
    <w:link w:val="TAC"/>
    <w:qFormat/>
    <w:rsid w:val="00D870C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D870C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D870CA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D870CA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F3BF1"/>
    <w:rPr>
      <w:color w:val="808080"/>
    </w:rPr>
  </w:style>
  <w:style w:type="character" w:customStyle="1" w:styleId="B1Char">
    <w:name w:val="B1 Char"/>
    <w:link w:val="B1"/>
    <w:rsid w:val="001F3BF1"/>
    <w:rPr>
      <w:lang w:eastAsia="en-US"/>
    </w:rPr>
  </w:style>
  <w:style w:type="character" w:customStyle="1" w:styleId="c-timestamplabel">
    <w:name w:val="c-timestamp__label"/>
    <w:basedOn w:val="DefaultParagraphFont"/>
    <w:rsid w:val="00F638FE"/>
  </w:style>
  <w:style w:type="character" w:customStyle="1" w:styleId="TALCar">
    <w:name w:val="TAL Car"/>
    <w:link w:val="TAL"/>
    <w:qFormat/>
    <w:rsid w:val="000D3845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2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5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74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87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13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4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61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37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6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7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2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33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84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33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5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1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6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2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6311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15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2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18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91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7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08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9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8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05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45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3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0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26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78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33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01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70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15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0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91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0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80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05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1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35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04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64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28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65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61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9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06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80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19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31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8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43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14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26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84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11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44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99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835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683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18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50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622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12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9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4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889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43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38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4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78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2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8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3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7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31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36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0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13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6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5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901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87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71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13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39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441174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543225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3562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9422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26632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5250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457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93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74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227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575287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085586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9026875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391955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492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0971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92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1291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636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03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97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5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57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508486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608559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2442390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19449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8208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0701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447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4791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99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02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64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8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31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7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28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67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1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94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40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8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7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72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15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40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76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24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74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10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33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5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13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6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90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78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40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911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0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50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490752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667263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6423725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760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031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0013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55776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7317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628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45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56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323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406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507170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582872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3342724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724787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19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4844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0557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33621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516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8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19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286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450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9848247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631422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5347227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030993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2834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436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260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66797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062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40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47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3087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5708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4317089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913825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21185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6268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006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53355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1579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231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61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44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421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426363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9161906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367136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0275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113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0602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62146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9451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342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36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92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360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991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51860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418454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483246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442468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9379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7094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2615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1927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539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38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59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63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669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923806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557005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6262564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09821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919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502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0758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546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4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88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66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77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4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9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8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7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8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4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822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3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04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1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5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352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0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24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7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48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68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1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4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97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7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9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1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81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04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9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22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75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66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3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21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97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62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73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20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68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8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2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02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59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90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0590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11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45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229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893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82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157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85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988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96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4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705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0334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16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70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2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25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81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54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08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22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53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8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41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69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17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310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211271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39516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1366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1049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9599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42814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949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96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33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65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728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4990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3679786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5674642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62618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5297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5092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37801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1166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54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69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63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145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262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13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047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4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12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49822">
          <w:marLeft w:val="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14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68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11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145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494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37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32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10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81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128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3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14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0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95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79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17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8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730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99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5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9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0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06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00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77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96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88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2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4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75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6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80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40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96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17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18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9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17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5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6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2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6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7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48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81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78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346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8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3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7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92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4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97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34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80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7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1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2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96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5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27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67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974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21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94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4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53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66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35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9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9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30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58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6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2751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039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8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83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27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7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9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2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7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50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08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04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11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8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95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65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98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9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50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505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65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45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21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89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35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03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03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89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7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71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0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4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7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8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1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3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1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17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05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66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55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796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23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47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73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29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1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6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93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905C8E-C8A1-4844-ACC1-CE43953F0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21</TotalTime>
  <Pages>3</Pages>
  <Words>1013</Words>
  <Characters>5779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6779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Camila Priale</cp:lastModifiedBy>
  <cp:revision>8</cp:revision>
  <cp:lastPrinted>2019-02-25T14:05:00Z</cp:lastPrinted>
  <dcterms:created xsi:type="dcterms:W3CDTF">2021-05-11T19:07:00Z</dcterms:created>
  <dcterms:modified xsi:type="dcterms:W3CDTF">2021-05-11T21:09:00Z</dcterms:modified>
  <cp:category/>
</cp:coreProperties>
</file>